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de97700a1" Type="http://schemas.openxmlformats.org/officeDocument/2006/extended-properties" Target="docProps/app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39" w:rsidRDefault="005E0D39">
      <w:pPr>
        <w:spacing w:line="288" w:lineRule="auto"/>
        <w:jc w:val="center"/>
      </w:pPr>
    </w:p>
    <w:p w:rsidR="005E0D39" w:rsidRDefault="00DF02D8">
      <w:pPr>
        <w:spacing w:line="288" w:lineRule="auto"/>
        <w:jc w:val="center"/>
      </w:pPr>
      <w:r>
        <w:rPr>
          <w:noProof/>
        </w:rPr>
        <w:drawing>
          <wp:inline distT="0" distB="0" distL="0" distR="0">
            <wp:extent cx="6858000" cy="858253"/>
            <wp:effectExtent l="0" t="0" r="0" b="0"/>
            <wp:docPr id="1" name="Image - Image1.jpeg"/>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a:stretch>
                      <a:fillRect/>
                    </a:stretch>
                  </pic:blipFill>
                  <pic:spPr>
                    <a:xfrm>
                      <a:off x="0" y="0"/>
                      <a:ext cx="6858000" cy="858253"/>
                    </a:xfrm>
                    <a:prstGeom prst="rect">
                      <a:avLst/>
                    </a:prstGeom>
                  </pic:spPr>
                </pic:pic>
              </a:graphicData>
            </a:graphic>
          </wp:inline>
        </w:drawing>
      </w:r>
    </w:p>
    <w:p w:rsidR="005E0D39" w:rsidRDefault="00DF02D8">
      <w:pPr>
        <w:spacing w:line="288" w:lineRule="auto"/>
        <w:jc w:val="right"/>
        <w:rPr>
          <w:i/>
        </w:rPr>
      </w:pPr>
      <w:r>
        <w:rPr>
          <w:i/>
        </w:rPr>
        <w:t>For Immediate Release</w:t>
      </w:r>
    </w:p>
    <w:p w:rsidR="005E0D39" w:rsidRDefault="005E0D39">
      <w:pPr>
        <w:spacing w:line="288" w:lineRule="auto"/>
        <w:ind w:right="340"/>
        <w:jc w:val="center"/>
        <w:rPr>
          <w:sz w:val="32"/>
        </w:rPr>
      </w:pPr>
    </w:p>
    <w:p w:rsidR="005E0D39" w:rsidRDefault="00DF02D8">
      <w:pPr>
        <w:spacing w:line="288" w:lineRule="auto"/>
        <w:ind w:right="340"/>
        <w:jc w:val="center"/>
        <w:rPr>
          <w:b/>
          <w:sz w:val="32"/>
        </w:rPr>
      </w:pPr>
      <w:r>
        <w:rPr>
          <w:b/>
          <w:sz w:val="32"/>
        </w:rPr>
        <w:t>AAM Reports Third Quarter 2016 Financial Results</w:t>
      </w:r>
    </w:p>
    <w:p w:rsidR="005E0D39" w:rsidRDefault="005E0D39">
      <w:pPr>
        <w:spacing w:line="288" w:lineRule="auto"/>
        <w:ind w:right="340"/>
        <w:jc w:val="center"/>
        <w:rPr>
          <w:b/>
          <w:sz w:val="32"/>
        </w:rPr>
      </w:pPr>
    </w:p>
    <w:p w:rsidR="005E0D39" w:rsidRDefault="00DF02D8">
      <w:pPr>
        <w:spacing w:line="288" w:lineRule="auto"/>
        <w:ind w:right="340"/>
        <w:jc w:val="center"/>
        <w:rPr>
          <w:i/>
          <w:sz w:val="24"/>
        </w:rPr>
      </w:pPr>
      <w:r>
        <w:rPr>
          <w:i/>
          <w:sz w:val="24"/>
        </w:rPr>
        <w:t>Third quarter gross profit increases by 14.5% on a year-over-year basis to $181.2 million</w:t>
      </w:r>
    </w:p>
    <w:p w:rsidR="005E0D39" w:rsidRDefault="005E0D39">
      <w:pPr>
        <w:spacing w:line="288" w:lineRule="auto"/>
      </w:pPr>
    </w:p>
    <w:p w:rsidR="005E0D39" w:rsidRDefault="00DF02D8">
      <w:pPr>
        <w:spacing w:before="100" w:line="288" w:lineRule="auto"/>
      </w:pPr>
      <w:r>
        <w:t>DETROIT, November 3, 2016 -- American Axle &amp; Manufacturing Holdings, Inc. (AAM), (NYSE: AXL) today reported its financial results for the third quarter 2016.</w:t>
      </w:r>
    </w:p>
    <w:p w:rsidR="005E0D39" w:rsidRDefault="00DF02D8">
      <w:pPr>
        <w:spacing w:before="180" w:line="288" w:lineRule="auto"/>
        <w:rPr>
          <w:b/>
        </w:rPr>
      </w:pPr>
      <w:r>
        <w:rPr>
          <w:b/>
        </w:rPr>
        <w:t>Third Quarter 2016 Results</w:t>
      </w:r>
    </w:p>
    <w:p w:rsidR="005E0D39" w:rsidRDefault="00DF02D8">
      <w:pPr>
        <w:numPr>
          <w:ilvl w:val="0"/>
          <w:numId w:val="1"/>
        </w:numPr>
        <w:spacing w:line="288" w:lineRule="auto"/>
        <w:ind w:left="780"/>
      </w:pPr>
      <w:r>
        <w:t>Sales of $1.007 billion</w:t>
      </w:r>
    </w:p>
    <w:p w:rsidR="005E0D39" w:rsidRDefault="00DF02D8">
      <w:pPr>
        <w:numPr>
          <w:ilvl w:val="0"/>
          <w:numId w:val="1"/>
        </w:numPr>
        <w:spacing w:line="288" w:lineRule="auto"/>
        <w:ind w:left="780"/>
      </w:pPr>
      <w:r>
        <w:t xml:space="preserve">Gross </w:t>
      </w:r>
      <w:bookmarkStart w:id="0" w:name="_GoBack"/>
      <w:bookmarkEnd w:id="0"/>
      <w:r>
        <w:t>profit of $181.2 million, or 18.0% of sales</w:t>
      </w:r>
    </w:p>
    <w:p w:rsidR="005E0D39" w:rsidRDefault="00DF02D8">
      <w:pPr>
        <w:numPr>
          <w:ilvl w:val="0"/>
          <w:numId w:val="1"/>
        </w:numPr>
        <w:spacing w:line="288" w:lineRule="auto"/>
        <w:ind w:left="780"/>
      </w:pPr>
      <w:r>
        <w:t xml:space="preserve">Net income of $61.7 million, or 6.1% of sales </w:t>
      </w:r>
    </w:p>
    <w:p w:rsidR="005E0D39" w:rsidRDefault="00DF02D8">
      <w:pPr>
        <w:numPr>
          <w:ilvl w:val="0"/>
          <w:numId w:val="1"/>
        </w:numPr>
        <w:spacing w:line="288" w:lineRule="auto"/>
        <w:ind w:left="780"/>
      </w:pPr>
      <w:r>
        <w:t xml:space="preserve">Diluted earnings of $0.78 per share </w:t>
      </w:r>
    </w:p>
    <w:p w:rsidR="005E0D39" w:rsidRDefault="00DF02D8">
      <w:pPr>
        <w:numPr>
          <w:ilvl w:val="0"/>
          <w:numId w:val="1"/>
        </w:numPr>
        <w:spacing w:line="288" w:lineRule="auto"/>
        <w:ind w:left="780"/>
      </w:pPr>
      <w:r>
        <w:t>Adjusted EBITDA (earnings before interest expense, income taxes, depreciation and amortization, excluding the impact of special charges and other non-recurring items) of $156.7 million, or 15.6% of sales</w:t>
      </w:r>
    </w:p>
    <w:p w:rsidR="005E0D39" w:rsidRDefault="00DF02D8">
      <w:pPr>
        <w:numPr>
          <w:ilvl w:val="0"/>
          <w:numId w:val="1"/>
        </w:numPr>
        <w:spacing w:line="288" w:lineRule="auto"/>
        <w:ind w:left="780"/>
      </w:pPr>
      <w:r>
        <w:t xml:space="preserve">Net cash provided by operating activities of $107.5 million </w:t>
      </w:r>
    </w:p>
    <w:p w:rsidR="005E0D39" w:rsidRDefault="00DF02D8">
      <w:pPr>
        <w:numPr>
          <w:ilvl w:val="0"/>
          <w:numId w:val="1"/>
        </w:numPr>
        <w:spacing w:line="288" w:lineRule="auto"/>
        <w:ind w:left="780"/>
      </w:pPr>
      <w:r>
        <w:t xml:space="preserve">Free cash flow (net cash provided by operating activities less capital expenditures net of proceeds from the sale of property, plant and equipment and government grants) of $54.6 million </w:t>
      </w:r>
    </w:p>
    <w:p w:rsidR="005E0D39" w:rsidRDefault="005E0D39">
      <w:pPr>
        <w:spacing w:line="288" w:lineRule="auto"/>
        <w:ind w:left="810"/>
      </w:pPr>
    </w:p>
    <w:p w:rsidR="005E0D39" w:rsidRDefault="00DF02D8">
      <w:pPr>
        <w:spacing w:before="120" w:after="120" w:line="288" w:lineRule="auto"/>
        <w:ind w:right="240"/>
      </w:pPr>
      <w:r>
        <w:t xml:space="preserve">AAM's net income in the third quarter of 2016 was $61.7 million, or $0.78 per share. This compares to net income of $60.9 million, or $0.78 per share in the third quarter of 2015. In the third quarter of 2016, AAM's results reflect the impact of a $3.4 million asset impairment charge and $0.7 million of acquisition related expenses. </w:t>
      </w:r>
    </w:p>
    <w:p w:rsidR="005E0D39" w:rsidRDefault="00DF02D8">
      <w:pPr>
        <w:spacing w:before="120" w:after="120" w:line="288" w:lineRule="auto"/>
      </w:pPr>
      <w:r>
        <w:t xml:space="preserve">AAM’s net income in the first nine months of 2016 was $193.8 million, or $2.47 per share as compared to $172.7 million, or $2.21 per share in the first nine months of 2015. </w:t>
      </w:r>
    </w:p>
    <w:p w:rsidR="005E0D39" w:rsidRDefault="00DF02D8">
      <w:pPr>
        <w:spacing w:before="120" w:after="120" w:line="288" w:lineRule="auto"/>
        <w:ind w:right="240"/>
      </w:pPr>
      <w:r>
        <w:t>“AAM's third quarter financial results continued to reflect strong production volumes and solid performance in our global manufacturing operations</w:t>
      </w:r>
      <w:proofErr w:type="gramStart"/>
      <w:r>
        <w:t>,“</w:t>
      </w:r>
      <w:proofErr w:type="gramEnd"/>
      <w:r>
        <w:t xml:space="preserve"> said AAM’s Chairman &amp; Chief Executive Officer, David C. Dauch. "Our year-to-date financial performance positions AAM to achieve record sales and profit in 2016."</w:t>
      </w:r>
    </w:p>
    <w:p w:rsidR="005E0D39" w:rsidRDefault="00DF02D8">
      <w:pPr>
        <w:spacing w:before="120" w:after="120" w:line="288" w:lineRule="auto"/>
        <w:ind w:right="240"/>
      </w:pPr>
      <w:r>
        <w:t xml:space="preserve">Net sales in the third quarter of 2016 increased to $1.007 billion as compared to $971.6 million in the third quarter of 2015. Non-GM sales were $307.7 million in the quarter as compared to $321.6 million in the third quarter of 2015. </w:t>
      </w:r>
    </w:p>
    <w:p w:rsidR="005E0D39" w:rsidRDefault="00DF02D8">
      <w:pPr>
        <w:spacing w:before="120" w:after="120" w:line="288" w:lineRule="auto"/>
      </w:pPr>
      <w:r>
        <w:t xml:space="preserve">AAM's net sales in the first nine months of 2016 increased to $3.002 billion as compared to $2.945 billion in the first nine months of 2015. Non-GM sales in the first nine months of 2016 were $964.8 million, as compared to $993.6 million in the first nine months of 2015. </w:t>
      </w:r>
    </w:p>
    <w:p w:rsidR="005E0D39" w:rsidRDefault="00DF02D8">
      <w:pPr>
        <w:spacing w:before="120" w:after="120" w:line="288" w:lineRule="auto"/>
      </w:pPr>
      <w:r>
        <w:t xml:space="preserve">AAM's content-per-vehicle is measured by the dollar value of its product sales supporting our customers' North American light truck and SUV programs. In the third quarter of 2016, AAM's content-per-vehicle was $1,612 as compared to $1,622 in the third quarter of 2015 and $1,609 in the second quarter of 2016. </w:t>
      </w:r>
    </w:p>
    <w:p w:rsidR="005E0D39" w:rsidRDefault="00DF02D8">
      <w:pPr>
        <w:spacing w:before="120" w:after="120" w:line="288" w:lineRule="auto"/>
        <w:ind w:right="240"/>
      </w:pPr>
      <w:r>
        <w:t>AAM's gross profit in the third quarter of 2016 increased to $181.2 million as compared to $158.3 million in the third quarter of 2015. Gross profit in the third quarter of 2016 includes the impact of the $3.4 million asset impairment charge. Gross margin was 18.0% in the third quarter of 2016 as compared to 16.3% in the third quarter of 2015.</w:t>
      </w:r>
    </w:p>
    <w:p w:rsidR="005E0D39" w:rsidRDefault="00DF02D8">
      <w:pPr>
        <w:spacing w:before="120" w:after="120" w:line="288" w:lineRule="auto"/>
      </w:pPr>
      <w:r>
        <w:lastRenderedPageBreak/>
        <w:t>AAM's gross profit for the first nine months of 2016 increased to $546.6 million as compared to $475.6 million in the first nine months of 2015. Gross margin was 18.2% in the first nine months of 2016 as compared to 16.1% in the first nine months of 2015.</w:t>
      </w:r>
    </w:p>
    <w:p w:rsidR="005E0D39" w:rsidRDefault="00DF02D8">
      <w:pPr>
        <w:spacing w:before="120" w:after="120" w:line="288" w:lineRule="auto"/>
        <w:ind w:right="240"/>
      </w:pPr>
      <w:r>
        <w:t>AAM's selling, general, and administrative (SG&amp;A) expense in the third quarter of 2016 was $79.9 million, or 7.9% of sales, as comp</w:t>
      </w:r>
      <w:r w:rsidR="007070F7">
        <w:t xml:space="preserve">ared to $65.5 million, or 6.7% </w:t>
      </w:r>
      <w:r>
        <w:t xml:space="preserve">of sales, in the third quarter of 2015. SG&amp;A expense in the third quarter of 2016 includes the impact of $0.7 million of acquisition related expenses. </w:t>
      </w:r>
    </w:p>
    <w:p w:rsidR="005E0D39" w:rsidRDefault="00DF02D8">
      <w:pPr>
        <w:spacing w:before="120" w:after="120" w:line="288" w:lineRule="auto"/>
      </w:pPr>
      <w:r>
        <w:t xml:space="preserve">In the first nine months of 2016, AAM's SG&amp;A expense was $235.4 million, or 7.8% of sales, as compared to $204.6 million, or 6.9% of sales, for the first nine months of 2015.  </w:t>
      </w:r>
    </w:p>
    <w:p w:rsidR="005E0D39" w:rsidRDefault="00DF02D8">
      <w:pPr>
        <w:spacing w:before="120" w:after="120" w:line="288" w:lineRule="auto"/>
        <w:ind w:right="240"/>
      </w:pPr>
      <w:r>
        <w:t xml:space="preserve">AAM's research and development (R&amp;D) expense in the third quarter of 2016 was $36.2 million as compared to $25.8 million in the third quarter of 2015. AAM's R&amp;D expense in the first nine months of 2016 was $102.3 million compared to $82.6 million in the first nine months of 2015.  </w:t>
      </w:r>
    </w:p>
    <w:p w:rsidR="005E0D39" w:rsidRDefault="00DF02D8">
      <w:pPr>
        <w:spacing w:before="120" w:after="120" w:line="288" w:lineRule="auto"/>
      </w:pPr>
      <w:r>
        <w:t>AAM defines EBITDA to be earnings before interest expense, income taxes, depreciation and amortization. Adjusted EBITDA is defined as EBITDA excluding the impact of special charges and other non-recurring items.</w:t>
      </w:r>
    </w:p>
    <w:p w:rsidR="005E0D39" w:rsidRDefault="00DF02D8">
      <w:pPr>
        <w:spacing w:before="120" w:after="120" w:line="288" w:lineRule="auto"/>
      </w:pPr>
      <w:r>
        <w:t>In the third quarter of 2016, AAM's Adjusted EBITDA increased to $156.7 million, or 15.6% of sales, as compared to $149.2 million, or 15.4% of sales, in the third quarter of 2015.</w:t>
      </w:r>
    </w:p>
    <w:p w:rsidR="005E0D39" w:rsidRDefault="00DF02D8">
      <w:pPr>
        <w:spacing w:before="120" w:after="120" w:line="288" w:lineRule="auto"/>
      </w:pPr>
      <w:r>
        <w:t xml:space="preserve">In the first nine months of 2016, AAM's Adjusted EBITDA was $471.3 million, or 15.7% of sales, as compared to $433.6 million, or 14.7% of sales, in the first nine months of 2015. </w:t>
      </w:r>
    </w:p>
    <w:p w:rsidR="005E0D39" w:rsidRDefault="00DF02D8">
      <w:pPr>
        <w:spacing w:before="120" w:after="120" w:line="288" w:lineRule="auto"/>
      </w:pPr>
      <w:r>
        <w:t>AAM defines free cash flow to be net cash provided by operating activities less capital expenditures net of proceeds from the sale of property, plant and equipment and government grants.</w:t>
      </w:r>
    </w:p>
    <w:p w:rsidR="005E0D39" w:rsidRDefault="00DF02D8">
      <w:pPr>
        <w:spacing w:before="120" w:after="120" w:line="288" w:lineRule="auto"/>
      </w:pPr>
      <w:r>
        <w:t>Net cash provided by operating activities for the third quarter of 2016 was $107.5 million. Capital spending, net of proceeds from the sale of property, plant and equipment and government grants for the third quarter of 2016 was $52.9 million.  Reflecting the impact of this activity, AAM generated free cash flow of $54.6 million for the third quarter of 2016.</w:t>
      </w:r>
    </w:p>
    <w:p w:rsidR="005E0D39" w:rsidRDefault="00DF02D8">
      <w:pPr>
        <w:spacing w:line="288" w:lineRule="auto"/>
      </w:pPr>
      <w:r>
        <w:t>Net cash provided by operating activities for the first nine months of 2016 was $291.0 million.  Capital spending, net of</w:t>
      </w:r>
      <w:r w:rsidR="007070F7">
        <w:t xml:space="preserve"> </w:t>
      </w:r>
      <w:r>
        <w:t>proceeds from the sale of property, plant and equipment and government grants for the first nine months of 2016 was $155.2 million.  Reflecting the impact of this activity, AAM generated free cash flow of $135.8 million in the first nine months of 2016.</w:t>
      </w:r>
    </w:p>
    <w:p w:rsidR="005E0D39" w:rsidRDefault="005E0D39">
      <w:pPr>
        <w:spacing w:line="288" w:lineRule="auto"/>
        <w:rPr>
          <w:b/>
        </w:rPr>
      </w:pPr>
    </w:p>
    <w:p w:rsidR="005E0D39" w:rsidRDefault="00DF02D8">
      <w:pPr>
        <w:spacing w:line="288" w:lineRule="auto"/>
        <w:rPr>
          <w:b/>
        </w:rPr>
      </w:pPr>
      <w:r>
        <w:rPr>
          <w:b/>
        </w:rPr>
        <w:t>Update on GM's Next Generation Full Size Truck Program</w:t>
      </w:r>
    </w:p>
    <w:p w:rsidR="005E0D39" w:rsidRDefault="00DF02D8">
      <w:pPr>
        <w:spacing w:line="288" w:lineRule="auto"/>
      </w:pPr>
      <w:r>
        <w:t xml:space="preserve">As an update to the press release issued on July 31, 2015 related to our selection by GM as the target supplier to provide axles and </w:t>
      </w:r>
      <w:proofErr w:type="spellStart"/>
      <w:r>
        <w:t>driveshaft</w:t>
      </w:r>
      <w:r w:rsidR="007070F7">
        <w:t>s</w:t>
      </w:r>
      <w:proofErr w:type="spellEnd"/>
      <w:r w:rsidR="007070F7">
        <w:t xml:space="preserve"> for GM’s next generation full </w:t>
      </w:r>
      <w:r>
        <w:t>size truck program - AAM now estimates, based on current design and program direction, to retain approximately 65% of the sales content prov</w:t>
      </w:r>
      <w:r w:rsidR="007070F7">
        <w:t xml:space="preserve">ided to GM for the current full </w:t>
      </w:r>
      <w:r>
        <w:t>size truck program.  AAM estimates to have covered approximately 90% of the expected sales impact of this sourcing transition with new and incremental business wins that will launch in the 2018 to 2020 timeframe.</w:t>
      </w:r>
    </w:p>
    <w:p w:rsidR="005E0D39" w:rsidRDefault="005E0D39">
      <w:pPr>
        <w:spacing w:line="288" w:lineRule="auto"/>
        <w:rPr>
          <w:b/>
        </w:rPr>
      </w:pPr>
    </w:p>
    <w:p w:rsidR="005E0D39" w:rsidRDefault="00DF02D8">
      <w:pPr>
        <w:spacing w:line="288" w:lineRule="auto"/>
        <w:rPr>
          <w:b/>
        </w:rPr>
      </w:pPr>
      <w:r>
        <w:rPr>
          <w:b/>
        </w:rPr>
        <w:t>AAM's Full Year 2016 Outlook</w:t>
      </w:r>
    </w:p>
    <w:p w:rsidR="005E0D39" w:rsidRDefault="00DF02D8">
      <w:pPr>
        <w:spacing w:line="288" w:lineRule="auto"/>
      </w:pPr>
      <w:r>
        <w:t>AAM has updated its full year 2016 outlook:</w:t>
      </w:r>
    </w:p>
    <w:p w:rsidR="005E0D39" w:rsidRDefault="00DF02D8">
      <w:pPr>
        <w:keepLines/>
        <w:numPr>
          <w:ilvl w:val="0"/>
          <w:numId w:val="2"/>
        </w:numPr>
        <w:spacing w:before="10" w:line="288" w:lineRule="auto"/>
        <w:ind w:left="720"/>
      </w:pPr>
      <w:r>
        <w:t xml:space="preserve">AAM is targeting sales of $3.95 billion in 2016. </w:t>
      </w:r>
    </w:p>
    <w:p w:rsidR="005E0D39" w:rsidRDefault="00DF02D8">
      <w:pPr>
        <w:keepLines/>
        <w:numPr>
          <w:ilvl w:val="0"/>
          <w:numId w:val="2"/>
        </w:numPr>
        <w:spacing w:before="10" w:line="288" w:lineRule="auto"/>
        <w:ind w:left="720"/>
      </w:pPr>
      <w:r>
        <w:t>AAM is targeting an Adjusted EBITDA margin in the range of 15.25% to 15.5% of sales in 2016.</w:t>
      </w:r>
    </w:p>
    <w:p w:rsidR="005E0D39" w:rsidRDefault="00DF02D8">
      <w:pPr>
        <w:keepLines/>
        <w:numPr>
          <w:ilvl w:val="0"/>
          <w:numId w:val="2"/>
        </w:numPr>
        <w:spacing w:before="10" w:line="288" w:lineRule="auto"/>
        <w:ind w:left="720"/>
      </w:pPr>
      <w:r>
        <w:t>AAM is targeting free cash flow of approximately $160 million in 2016.</w:t>
      </w:r>
    </w:p>
    <w:p w:rsidR="005E0D39" w:rsidRDefault="00DF02D8">
      <w:pPr>
        <w:keepLines/>
        <w:numPr>
          <w:ilvl w:val="0"/>
          <w:numId w:val="2"/>
        </w:numPr>
        <w:spacing w:before="10" w:line="288" w:lineRule="auto"/>
        <w:ind w:left="720"/>
      </w:pPr>
      <w:r>
        <w:t>AAM is targeting full year capital spending of approximately 6% of sales in 2016.</w:t>
      </w:r>
    </w:p>
    <w:p w:rsidR="005E0D39" w:rsidRDefault="005E0D39">
      <w:pPr>
        <w:keepLines/>
        <w:spacing w:before="10" w:line="288" w:lineRule="auto"/>
        <w:ind w:left="720"/>
      </w:pPr>
    </w:p>
    <w:p w:rsidR="005E0D39" w:rsidRDefault="00DF02D8">
      <w:pPr>
        <w:spacing w:line="288" w:lineRule="auto"/>
        <w:rPr>
          <w:b/>
        </w:rPr>
      </w:pPr>
      <w:r>
        <w:rPr>
          <w:b/>
        </w:rPr>
        <w:t>Third Quarter 2016 Conference Call Information</w:t>
      </w:r>
    </w:p>
    <w:p w:rsidR="005E0D39" w:rsidRDefault="00DF02D8">
      <w:pPr>
        <w:spacing w:line="288" w:lineRule="auto"/>
      </w:pPr>
      <w:r>
        <w:t>A conference call to review AAM's third quarter 2016 results and other business developments is scheduled today at 8:00 a.m. ET. Interested participants may listen to the live conference call by logging onto AAM's investor web site at http://investor.aam.com or calling (855) 681-2072 from the United States or (213) 358-0831 from outside the United States. A replay will be available from 1:00 p.m. ET on November 3, 2016 until 11:59 p.m. ET November 10, 2016 by dialing (855) 859-2056 from the United States or (404) 537-3406 from outside the United States.  When prompted, callers should enter conference reservation number 12791647.</w:t>
      </w:r>
    </w:p>
    <w:p w:rsidR="005E0D39" w:rsidRDefault="005E0D39">
      <w:pPr>
        <w:spacing w:line="288" w:lineRule="auto"/>
      </w:pPr>
    </w:p>
    <w:p w:rsidR="005E0D39" w:rsidRDefault="00DF02D8">
      <w:pPr>
        <w:spacing w:line="288" w:lineRule="auto"/>
      </w:pPr>
      <w:r>
        <w:lastRenderedPageBreak/>
        <w:t>In light of today’s conference call, AAM’s previously scheduled earnings conference call on November 4, 2016 will no longer occur.</w:t>
      </w:r>
    </w:p>
    <w:p w:rsidR="005E0D39" w:rsidRDefault="005E0D39">
      <w:pPr>
        <w:spacing w:line="288" w:lineRule="auto"/>
        <w:rPr>
          <w:b/>
        </w:rPr>
      </w:pPr>
    </w:p>
    <w:p w:rsidR="005E0D39" w:rsidRDefault="00DF02D8">
      <w:pPr>
        <w:spacing w:line="288" w:lineRule="auto"/>
        <w:rPr>
          <w:b/>
        </w:rPr>
      </w:pPr>
      <w:r>
        <w:rPr>
          <w:b/>
        </w:rPr>
        <w:t>Non-GAAP Financial Information</w:t>
      </w:r>
    </w:p>
    <w:p w:rsidR="005E0D39" w:rsidRDefault="00DF02D8">
      <w:pPr>
        <w:keepNext/>
        <w:spacing w:line="288" w:lineRule="auto"/>
      </w:pPr>
      <w:r>
        <w:t>In addition to the results reported in accordance with accounting principles generally accepted in the United States of America (GAAP) included within this press release, AAM has provided certain information, which includes non-GAAP financial measures.  Such information is reconciled to its closest GAAP measure in accordance with Securities and Exchange Commission rules and is included in the attached supplemental data.</w:t>
      </w:r>
    </w:p>
    <w:p w:rsidR="005E0D39" w:rsidRDefault="005E0D39">
      <w:pPr>
        <w:spacing w:line="288" w:lineRule="auto"/>
      </w:pPr>
    </w:p>
    <w:p w:rsidR="005E0D39" w:rsidRDefault="00DF02D8">
      <w:pPr>
        <w:spacing w:line="288" w:lineRule="auto"/>
      </w:pPr>
      <w:r>
        <w:t>Management believes that these non-GAAP financial measures are useful to both management and its stockholders in their analysis of the Company's business and operating performance. Management also uses this information for operational planning and decision-making purposes.</w:t>
      </w:r>
    </w:p>
    <w:p w:rsidR="005E0D39" w:rsidRDefault="005E0D39">
      <w:pPr>
        <w:spacing w:line="288" w:lineRule="auto"/>
      </w:pPr>
    </w:p>
    <w:p w:rsidR="005E0D39" w:rsidRDefault="00DF02D8">
      <w:pPr>
        <w:spacing w:line="288" w:lineRule="auto"/>
      </w:pPr>
      <w:r>
        <w:t>Non-GAAP financial measures are not and should not be considered a substitute for any GAAP measure. Additionally, non-GAAP financial measures as presented by AAM may not be comparable to similarly titled measures reported by other companies.</w:t>
      </w:r>
    </w:p>
    <w:p w:rsidR="005E0D39" w:rsidRDefault="005E0D39">
      <w:pPr>
        <w:spacing w:line="288" w:lineRule="auto"/>
      </w:pPr>
    </w:p>
    <w:p w:rsidR="005E0D39" w:rsidRDefault="00DF02D8">
      <w:pPr>
        <w:spacing w:line="288" w:lineRule="auto"/>
        <w:rPr>
          <w:b/>
        </w:rPr>
      </w:pPr>
      <w:r>
        <w:rPr>
          <w:b/>
        </w:rPr>
        <w:t>Company Description</w:t>
      </w:r>
    </w:p>
    <w:p w:rsidR="005E0D39" w:rsidRDefault="00DF02D8">
      <w:pPr>
        <w:spacing w:line="288" w:lineRule="auto"/>
      </w:pPr>
      <w:r>
        <w:t>AAM is a world leader in the manufacturing, engineering, design and validation of driveline and drivetrain systems and related components and modules, chassis systems, electric drive systems and metal-formed products for light trucks, sport utility vehicles, passenger cars, crossover vehicles and commercial vehicles. In addition to locations in the United States (Michigan, Ohio, and Indiana), AAM also has offices or facilities in Brazil, China, Germany, India, Japan, Luxembourg, Mexico, Poland, Scotland, South Korea, Sweden and Thailand.</w:t>
      </w:r>
    </w:p>
    <w:p w:rsidR="005E0D39" w:rsidRDefault="005E0D39">
      <w:pPr>
        <w:spacing w:line="288" w:lineRule="auto"/>
      </w:pPr>
    </w:p>
    <w:p w:rsidR="005E0D39" w:rsidRDefault="00DF02D8">
      <w:pPr>
        <w:spacing w:line="288" w:lineRule="auto"/>
        <w:rPr>
          <w:b/>
        </w:rPr>
      </w:pPr>
      <w:r>
        <w:rPr>
          <w:b/>
        </w:rPr>
        <w:t>Forward-Looking Statements</w:t>
      </w:r>
    </w:p>
    <w:p w:rsidR="005E0D39" w:rsidRDefault="00DF02D8">
      <w:pPr>
        <w:spacing w:after="200" w:line="288" w:lineRule="auto"/>
        <w:rPr>
          <w:i/>
        </w:rPr>
      </w:pPr>
      <w:r>
        <w:rPr>
          <w:i/>
        </w:rPr>
        <w:t>In this earnings release, we make statements concerning our expectations, beliefs, plans, objectives, goals, strategies, and future events or performance. Such statements are “forward-looking” statements within the meaning of the Private Securities Litigation Reform Act of 1995 and relate to trends and events that may affect our future financial position and operating results. The terms such as “will,” “may,” “could,” “would,” “plan,” “believe,” “expect,” “anticipate,” “intend,” “project,” "target," and similar words or expressions, as well as statements in future tense, are intended to identify forward-looking statements. Forward-looking statements should not be read as a guarantee of future performance or results, and will not necessarily be accurate indications of the times at, or by, which such performance or results will be achieved. Forward-looking statements are based on information available at the time those statements are made and/or management’s good faith belief as of that time with respect to future events and are subject to risks and may differ materially from those expressed in or suggested by the forward-looking statements. Important factors that could cause such differences include, but are not limited to: reduced purchases of our products by General Motors Company (GM), FCA US LLC (FCA), or other customers; reduced demand for our customers' products (particularly light trucks and sport utility vehicles (SUVs) produced by GM and FCA); our ability to develop and produce new products that reflect market demand; lower-than-anticipated market acceptance of new or existing products; our ability to respond to changes in technology, increased competition or pricing pressures; our ability to attract new customers and programs for new products; our ability to consummate and integrate acquisitions and joint ventures; liabilities arising from warranty claims, product recall or field actions, product liability and legal proceedings to which we are or may become a party, or the impact of product recall or field actions on our customers; our ability to achieve the level of cost reductions required to sustain global cost competitiveness; supply shortages or price increases in raw materials, utilities or other operating supplies for us or our customers as a result of natural disasters or otherwise; our ability or our customers' and suppliers' ability to successfully launch new product programs on a timely basis; our ability to realize the expected revenues from our new and incremental business backlog; risks inherent in our international operations (including adverse changes in political stability, taxes and other law changes, potential disruptions of production and supply, and currency rate fluctuations, including those resulting from the United Kingdom's vote to exit the European Union); negative or unexpected tax consequences; risks related to a failure of our information technology systems and networks, and risks associated with current and emerging technology threats and damage from computer viru</w:t>
      </w:r>
      <w:r w:rsidR="007070F7">
        <w:rPr>
          <w:i/>
        </w:rPr>
        <w:t xml:space="preserve">ses, unauthorized access, </w:t>
      </w:r>
      <w:proofErr w:type="spellStart"/>
      <w:r w:rsidR="007070F7">
        <w:rPr>
          <w:i/>
        </w:rPr>
        <w:t xml:space="preserve">cyber </w:t>
      </w:r>
      <w:r>
        <w:rPr>
          <w:i/>
        </w:rPr>
        <w:t>attack</w:t>
      </w:r>
      <w:proofErr w:type="spellEnd"/>
      <w:r>
        <w:rPr>
          <w:i/>
        </w:rPr>
        <w:t xml:space="preserve"> and other similar disruptions; global economic conditions; our ability to maintain satisfactory labor relations and avoid work stoppages; our suppliers', our customers' and their suppliers' ability to maintain satisfactory labor relations and avoid work stoppages; price volatility in, or reduced availability of, fuel; our ability to protect our intellectual property and </w:t>
      </w:r>
      <w:r>
        <w:rPr>
          <w:i/>
        </w:rPr>
        <w:lastRenderedPageBreak/>
        <w:t>successfully defend against assertions made against us; our ability to attract and retain key associates; availability of financing for working capital, capital expenditures, research and development (R&amp;D) or other general corporate purposes including acquisitions, as well as our ability to comply with financial covenants; our customers' and suppliers' availability of financing for working capital, capital expenditures, R&amp;D or other general corporate purposes; changes in liabilities arising from pension and other postretirement benefit obligations; risks of noncompliance with environmental laws and regulations or risks of environmental issues that could result in unforeseen costs at our facilities; adverse changes in laws, government regulations or market conditions affecting our products or our customers' products (such as the Corporate Average Fuel Economy (CAFE) regulations); our ability or our customers' and suppliers' ability to comply with the Dodd-Frank Act and other regulatory requirements and the potential costs of such compliance;  and other unanticipated events and conditions that may hinder our ability to compete. It is not possible to foresee or identify all such factors and we make no commitment to update any forward-looking statement or to disclose any facts, events or circumstances after the date hereof that may affect the accuracy of any forward-looking statement.</w:t>
      </w:r>
    </w:p>
    <w:p w:rsidR="005E0D39" w:rsidRDefault="005E0D39">
      <w:pPr>
        <w:spacing w:line="288" w:lineRule="auto"/>
        <w:rPr>
          <w:i/>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5E0D39">
      <w:pPr>
        <w:spacing w:line="288" w:lineRule="auto"/>
        <w:jc w:val="center"/>
        <w:rPr>
          <w:sz w:val="22"/>
        </w:rPr>
      </w:pPr>
    </w:p>
    <w:p w:rsidR="005E0D39" w:rsidRDefault="00DF02D8">
      <w:pPr>
        <w:spacing w:line="288" w:lineRule="auto"/>
        <w:jc w:val="center"/>
        <w:rPr>
          <w:sz w:val="22"/>
        </w:rPr>
      </w:pPr>
      <w:r>
        <w:rPr>
          <w:sz w:val="22"/>
        </w:rPr>
        <w:t>#  #  #</w:t>
      </w:r>
    </w:p>
    <w:p w:rsidR="005E0D39" w:rsidRDefault="005E0D39">
      <w:pPr>
        <w:spacing w:line="288" w:lineRule="auto"/>
        <w:rPr>
          <w:rFonts w:ascii="Arial" w:eastAsia="Arial" w:hAnsi="Arial" w:cs="Arial"/>
          <w:b/>
        </w:rPr>
      </w:pPr>
    </w:p>
    <w:p w:rsidR="005E0D39" w:rsidRDefault="005E0D39">
      <w:pPr>
        <w:spacing w:line="288" w:lineRule="auto"/>
        <w:rPr>
          <w:rFonts w:ascii="Arial" w:eastAsia="Arial" w:hAnsi="Arial" w:cs="Arial"/>
          <w:b/>
        </w:rPr>
      </w:pPr>
    </w:p>
    <w:p w:rsidR="005E0D39" w:rsidRDefault="00DF02D8">
      <w:pPr>
        <w:spacing w:line="288" w:lineRule="auto"/>
        <w:rPr>
          <w:rFonts w:ascii="Arial" w:eastAsia="Arial" w:hAnsi="Arial" w:cs="Arial"/>
          <w:b/>
        </w:rPr>
      </w:pPr>
      <w:r>
        <w:rPr>
          <w:rFonts w:ascii="Arial" w:eastAsia="Arial" w:hAnsi="Arial" w:cs="Arial"/>
          <w:b/>
        </w:rPr>
        <w:t>For more information:</w:t>
      </w:r>
    </w:p>
    <w:p w:rsidR="005E0D39" w:rsidRDefault="00DF02D8">
      <w:pPr>
        <w:spacing w:line="288" w:lineRule="auto"/>
        <w:rPr>
          <w:rFonts w:ascii="Arial" w:eastAsia="Arial" w:hAnsi="Arial" w:cs="Arial"/>
        </w:rPr>
      </w:pPr>
      <w:r>
        <w:rPr>
          <w:rFonts w:ascii="Arial" w:eastAsia="Arial" w:hAnsi="Arial" w:cs="Arial"/>
          <w:color w:val="000000"/>
          <w:u w:val="single" w:color="000000"/>
        </w:rPr>
        <w:t>Investor Contact</w:t>
      </w:r>
    </w:p>
    <w:p w:rsidR="005E0D39" w:rsidRDefault="00DF02D8">
      <w:pPr>
        <w:spacing w:line="288" w:lineRule="auto"/>
        <w:rPr>
          <w:rFonts w:ascii="Arial" w:eastAsia="Arial" w:hAnsi="Arial" w:cs="Arial"/>
        </w:rPr>
      </w:pPr>
      <w:r>
        <w:rPr>
          <w:rFonts w:ascii="Arial" w:eastAsia="Arial" w:hAnsi="Arial" w:cs="Arial"/>
        </w:rPr>
        <w:t>Jason P. Parsons</w:t>
      </w:r>
      <w:r>
        <w:tab/>
      </w:r>
      <w:r>
        <w:tab/>
      </w:r>
      <w:r>
        <w:tab/>
      </w:r>
      <w:r>
        <w:tab/>
      </w:r>
      <w:r>
        <w:tab/>
      </w:r>
      <w:r>
        <w:tab/>
      </w:r>
    </w:p>
    <w:p w:rsidR="005E0D39" w:rsidRDefault="00DF02D8">
      <w:pPr>
        <w:spacing w:line="288" w:lineRule="auto"/>
        <w:rPr>
          <w:rFonts w:ascii="Arial" w:eastAsia="Arial" w:hAnsi="Arial" w:cs="Arial"/>
        </w:rPr>
      </w:pPr>
      <w:r>
        <w:rPr>
          <w:rFonts w:ascii="Arial" w:eastAsia="Arial" w:hAnsi="Arial" w:cs="Arial"/>
        </w:rPr>
        <w:t>Director, Investor Relations</w:t>
      </w:r>
      <w:r>
        <w:tab/>
      </w:r>
      <w:r>
        <w:tab/>
      </w:r>
    </w:p>
    <w:p w:rsidR="005E0D39" w:rsidRDefault="00DF02D8">
      <w:pPr>
        <w:spacing w:line="288" w:lineRule="auto"/>
        <w:rPr>
          <w:rFonts w:ascii="Arial" w:eastAsia="Arial" w:hAnsi="Arial" w:cs="Arial"/>
        </w:rPr>
      </w:pPr>
      <w:r>
        <w:rPr>
          <w:rFonts w:ascii="Arial" w:eastAsia="Arial" w:hAnsi="Arial" w:cs="Arial"/>
        </w:rPr>
        <w:t>(313) 758-2404</w:t>
      </w:r>
      <w:r>
        <w:tab/>
      </w:r>
      <w:r>
        <w:tab/>
      </w:r>
      <w:r>
        <w:tab/>
      </w:r>
      <w:r>
        <w:tab/>
      </w:r>
      <w:r>
        <w:tab/>
      </w:r>
      <w:r>
        <w:tab/>
      </w:r>
      <w:r>
        <w:tab/>
      </w:r>
    </w:p>
    <w:p w:rsidR="005E0D39" w:rsidRDefault="00DF02D8">
      <w:pPr>
        <w:spacing w:line="288" w:lineRule="auto"/>
        <w:rPr>
          <w:rFonts w:ascii="Arial" w:eastAsia="Arial" w:hAnsi="Arial" w:cs="Arial"/>
        </w:rPr>
      </w:pPr>
      <w:r>
        <w:rPr>
          <w:rFonts w:ascii="Arial" w:eastAsia="Arial" w:hAnsi="Arial" w:cs="Arial"/>
          <w:color w:val="0000FF"/>
          <w:u w:val="single" w:color="0000FF"/>
        </w:rPr>
        <w:t>jason.parsons@aam.com</w:t>
      </w:r>
    </w:p>
    <w:p w:rsidR="005E0D39" w:rsidRDefault="005E0D39">
      <w:pPr>
        <w:spacing w:line="288" w:lineRule="auto"/>
      </w:pPr>
    </w:p>
    <w:p w:rsidR="005E0D39" w:rsidRDefault="005E0D39">
      <w:pPr>
        <w:spacing w:line="288" w:lineRule="auto"/>
        <w:rPr>
          <w:rFonts w:ascii="Arial" w:eastAsia="Arial" w:hAnsi="Arial" w:cs="Arial"/>
        </w:rPr>
      </w:pPr>
    </w:p>
    <w:p w:rsidR="005E0D39" w:rsidRDefault="005E0D39">
      <w:pPr>
        <w:spacing w:line="288" w:lineRule="auto"/>
        <w:rPr>
          <w:rFonts w:ascii="Arial" w:eastAsia="Arial" w:hAnsi="Arial" w:cs="Arial"/>
        </w:rPr>
      </w:pPr>
    </w:p>
    <w:p w:rsidR="005E0D39" w:rsidRDefault="00DF02D8">
      <w:pPr>
        <w:spacing w:line="288" w:lineRule="auto"/>
        <w:rPr>
          <w:rFonts w:ascii="Arial" w:eastAsia="Arial" w:hAnsi="Arial" w:cs="Arial"/>
        </w:rPr>
      </w:pPr>
      <w:r>
        <w:rPr>
          <w:rFonts w:ascii="Arial" w:eastAsia="Arial" w:hAnsi="Arial" w:cs="Arial"/>
          <w:color w:val="000000"/>
          <w:u w:val="single" w:color="000000"/>
        </w:rPr>
        <w:t>Media Contact</w:t>
      </w:r>
    </w:p>
    <w:p w:rsidR="005E0D39" w:rsidRDefault="00DF02D8">
      <w:pPr>
        <w:spacing w:line="288" w:lineRule="auto"/>
        <w:rPr>
          <w:rFonts w:ascii="Arial" w:eastAsia="Arial" w:hAnsi="Arial" w:cs="Arial"/>
        </w:rPr>
      </w:pPr>
      <w:r>
        <w:rPr>
          <w:rFonts w:ascii="Arial" w:eastAsia="Arial" w:hAnsi="Arial" w:cs="Arial"/>
        </w:rPr>
        <w:t>Christopher M. Son</w:t>
      </w:r>
    </w:p>
    <w:p w:rsidR="005E0D39" w:rsidRDefault="00DF02D8">
      <w:pPr>
        <w:spacing w:line="288" w:lineRule="auto"/>
        <w:rPr>
          <w:rFonts w:ascii="Arial" w:eastAsia="Arial" w:hAnsi="Arial" w:cs="Arial"/>
        </w:rPr>
      </w:pPr>
      <w:r>
        <w:rPr>
          <w:rFonts w:ascii="Arial" w:eastAsia="Arial" w:hAnsi="Arial" w:cs="Arial"/>
        </w:rPr>
        <w:t>Director, Marketing &amp; Communications</w:t>
      </w:r>
    </w:p>
    <w:p w:rsidR="005E0D39" w:rsidRDefault="00DF02D8">
      <w:pPr>
        <w:spacing w:line="288" w:lineRule="auto"/>
        <w:rPr>
          <w:rFonts w:ascii="Arial" w:eastAsia="Arial" w:hAnsi="Arial" w:cs="Arial"/>
        </w:rPr>
      </w:pPr>
      <w:r>
        <w:rPr>
          <w:rFonts w:ascii="Arial" w:eastAsia="Arial" w:hAnsi="Arial" w:cs="Arial"/>
        </w:rPr>
        <w:t>(313) 758-4814</w:t>
      </w:r>
    </w:p>
    <w:p w:rsidR="005E0D39" w:rsidRDefault="00DF02D8">
      <w:pPr>
        <w:spacing w:line="288" w:lineRule="auto"/>
        <w:rPr>
          <w:rFonts w:ascii="Arial" w:eastAsia="Arial" w:hAnsi="Arial" w:cs="Arial"/>
        </w:rPr>
      </w:pPr>
      <w:r>
        <w:rPr>
          <w:rFonts w:ascii="Arial" w:eastAsia="Arial" w:hAnsi="Arial" w:cs="Arial"/>
          <w:color w:val="0000FF"/>
          <w:u w:val="single" w:color="0000FF"/>
        </w:rPr>
        <w:t>chris.son@aam.com</w:t>
      </w:r>
    </w:p>
    <w:p w:rsidR="005E0D39" w:rsidRDefault="005E0D39">
      <w:pPr>
        <w:keepNext/>
        <w:spacing w:line="288" w:lineRule="auto"/>
      </w:pPr>
    </w:p>
    <w:p w:rsidR="005E0D39" w:rsidRDefault="00DF02D8">
      <w:pPr>
        <w:keepNext/>
        <w:spacing w:line="288" w:lineRule="auto"/>
      </w:pPr>
      <w:r>
        <w:t xml:space="preserve">Or visit the AAM website at </w:t>
      </w:r>
      <w:r>
        <w:rPr>
          <w:color w:val="0000FF"/>
          <w:u w:val="single" w:color="0000FF"/>
        </w:rPr>
        <w:t>www.aam.com</w:t>
      </w:r>
      <w:r>
        <w:t>.</w:t>
      </w:r>
    </w:p>
    <w:p w:rsidR="005E0D39" w:rsidRDefault="005E0D39">
      <w:pPr>
        <w:keepNext/>
        <w:spacing w:line="288" w:lineRule="auto"/>
      </w:pPr>
    </w:p>
    <w:p w:rsidR="005E0D39" w:rsidRDefault="005E0D39">
      <w:pPr>
        <w:spacing w:line="288" w:lineRule="auto"/>
      </w:pPr>
    </w:p>
    <w:p w:rsidR="005E0D39" w:rsidRDefault="005E0D39">
      <w:pPr>
        <w:sectPr w:rsidR="005E0D39">
          <w:headerReference w:type="default" r:id="rId9"/>
          <w:footerReference w:type="default" r:id="rId10"/>
          <w:pgSz w:w="12240" w:h="15840"/>
          <w:pgMar w:top="860" w:right="1000" w:bottom="860" w:left="720" w:header="160" w:footer="460" w:gutter="0"/>
          <w:pgNumType w:start="1" w:chapSep="period"/>
          <w:cols w:space="720"/>
        </w:sectPr>
      </w:pPr>
    </w:p>
    <w:p w:rsidR="005E0D39" w:rsidRDefault="005E0D39">
      <w:pPr>
        <w:tabs>
          <w:tab w:val="left" w:pos="6660"/>
        </w:tabs>
        <w:spacing w:line="288" w:lineRule="auto"/>
      </w:pPr>
      <w:bookmarkStart w:id="1" w:name="Statement_of_Operations"/>
      <w:bookmarkEnd w:id="1"/>
    </w:p>
    <w:p w:rsidR="005E0D39" w:rsidRDefault="00DF02D8">
      <w:pPr>
        <w:spacing w:line="288" w:lineRule="auto"/>
        <w:jc w:val="center"/>
        <w:rPr>
          <w:b/>
        </w:rPr>
      </w:pPr>
      <w:r>
        <w:rPr>
          <w:b/>
        </w:rPr>
        <w:t>AMERICAN AXLE &amp; MANUFACTURING HOLDINGS, INC.</w:t>
      </w:r>
    </w:p>
    <w:p w:rsidR="005E0D39" w:rsidRDefault="00DF02D8">
      <w:pPr>
        <w:spacing w:line="288" w:lineRule="auto"/>
        <w:jc w:val="center"/>
        <w:rPr>
          <w:b/>
        </w:rPr>
      </w:pPr>
      <w:r>
        <w:rPr>
          <w:b/>
        </w:rPr>
        <w:t>CONDENSED CONSOLIDATED STATEMENTS OF INCOME</w:t>
      </w:r>
    </w:p>
    <w:p w:rsidR="005E0D39" w:rsidRDefault="00DF02D8">
      <w:pPr>
        <w:spacing w:line="288" w:lineRule="auto"/>
        <w:jc w:val="center"/>
        <w:rPr>
          <w:b/>
          <w:i/>
        </w:rPr>
      </w:pPr>
      <w:r>
        <w:rPr>
          <w:b/>
          <w:i/>
        </w:rPr>
        <w:t>(Unaudited)</w:t>
      </w:r>
    </w:p>
    <w:p w:rsidR="005E0D39" w:rsidRDefault="005E0D39">
      <w:pPr>
        <w:spacing w:after="140"/>
      </w:pPr>
    </w:p>
    <w:tbl>
      <w:tblPr>
        <w:tblW w:w="10140" w:type="dxa"/>
        <w:jc w:val="center"/>
        <w:tblLayout w:type="fixed"/>
        <w:tblCellMar>
          <w:left w:w="10" w:type="dxa"/>
          <w:right w:w="10" w:type="dxa"/>
        </w:tblCellMar>
        <w:tblLook w:val="04A0" w:firstRow="1" w:lastRow="0" w:firstColumn="1" w:lastColumn="0" w:noHBand="0" w:noVBand="1"/>
      </w:tblPr>
      <w:tblGrid>
        <w:gridCol w:w="4120"/>
        <w:gridCol w:w="110"/>
        <w:gridCol w:w="1173"/>
        <w:gridCol w:w="77"/>
        <w:gridCol w:w="200"/>
        <w:gridCol w:w="110"/>
        <w:gridCol w:w="1153"/>
        <w:gridCol w:w="77"/>
        <w:gridCol w:w="180"/>
        <w:gridCol w:w="110"/>
        <w:gridCol w:w="1153"/>
        <w:gridCol w:w="77"/>
        <w:gridCol w:w="200"/>
        <w:gridCol w:w="110"/>
        <w:gridCol w:w="1213"/>
        <w:gridCol w:w="77"/>
      </w:tblGrid>
      <w:tr w:rsidR="007070F7" w:rsidTr="007070F7">
        <w:trPr>
          <w:trHeight w:hRule="exact" w:val="30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Three Months Ended</w:t>
            </w:r>
          </w:p>
        </w:tc>
        <w:tc>
          <w:tcPr>
            <w:tcW w:w="180" w:type="dxa"/>
            <w:tcMar>
              <w:left w:w="60" w:type="dxa"/>
              <w:right w:w="6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Nine Months Ended</w:t>
            </w:r>
          </w:p>
        </w:tc>
      </w:tr>
      <w:tr w:rsidR="007070F7" w:rsidTr="007070F7">
        <w:trPr>
          <w:trHeight w:hRule="exact" w:val="30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c>
          <w:tcPr>
            <w:tcW w:w="180" w:type="dxa"/>
            <w:tcMar>
              <w:left w:w="60" w:type="dxa"/>
              <w:right w:w="6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r>
      <w:tr w:rsidR="007070F7" w:rsidTr="007070F7">
        <w:trPr>
          <w:trHeight w:hRule="exact" w:val="30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200" w:type="dxa"/>
            <w:tcBorders>
              <w:top w:val="single" w:sz="8" w:space="0" w:color="auto"/>
            </w:tcBorders>
            <w:tcMar>
              <w:left w:w="60" w:type="dxa"/>
              <w:right w:w="6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c>
          <w:tcPr>
            <w:tcW w:w="180" w:type="dxa"/>
            <w:tcMar>
              <w:left w:w="60" w:type="dxa"/>
              <w:right w:w="6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200" w:type="dxa"/>
            <w:tcMar>
              <w:left w:w="60" w:type="dxa"/>
              <w:right w:w="6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r>
      <w:tr w:rsidR="007070F7" w:rsidTr="007070F7">
        <w:trPr>
          <w:trHeight w:hRule="exact" w:val="30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sz w:val="16"/>
              </w:rPr>
            </w:pPr>
            <w:r>
              <w:rPr>
                <w:i/>
                <w:color w:val="000000"/>
                <w:sz w:val="16"/>
              </w:rPr>
              <w:t>(in millions, except per share data)</w:t>
            </w:r>
          </w:p>
        </w:tc>
        <w:tc>
          <w:tcPr>
            <w:tcW w:w="180" w:type="dxa"/>
            <w:tcMar>
              <w:left w:w="60" w:type="dxa"/>
              <w:right w:w="6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sz w:val="16"/>
              </w:rPr>
            </w:pPr>
            <w:r>
              <w:rPr>
                <w:i/>
                <w:color w:val="000000"/>
                <w:sz w:val="16"/>
              </w:rPr>
              <w:t>(in millions, except per share data)</w:t>
            </w:r>
          </w:p>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60" w:type="dxa"/>
            </w:tcMar>
            <w:vAlign w:val="bottom"/>
          </w:tcPr>
          <w:p w:rsidR="005E0D39" w:rsidRDefault="005E0D39">
            <w:pPr>
              <w:keepNext/>
              <w:keepLines/>
              <w:spacing w:before="40" w:after="40"/>
            </w:pPr>
          </w:p>
        </w:tc>
        <w:tc>
          <w:tcPr>
            <w:tcW w:w="200" w:type="dxa"/>
            <w:tcMar>
              <w:left w:w="60" w:type="dxa"/>
              <w:right w:w="60" w:type="dxa"/>
            </w:tcMar>
            <w:vAlign w:val="bottom"/>
          </w:tcPr>
          <w:p w:rsidR="005E0D39" w:rsidRDefault="005E0D39">
            <w:pPr>
              <w:keepNext/>
              <w:keepLines/>
              <w:spacing w:before="40" w:after="40"/>
            </w:pPr>
          </w:p>
        </w:tc>
        <w:tc>
          <w:tcPr>
            <w:tcW w:w="0" w:type="dxa"/>
            <w:gridSpan w:val="3"/>
            <w:tcMar>
              <w:left w:w="60" w:type="dxa"/>
              <w:right w:w="60" w:type="dxa"/>
            </w:tcMar>
            <w:vAlign w:val="bottom"/>
          </w:tcPr>
          <w:p w:rsidR="005E0D39" w:rsidRDefault="005E0D39">
            <w:pPr>
              <w:keepNext/>
              <w:keepLines/>
              <w:spacing w:before="40" w:after="40"/>
            </w:pPr>
          </w:p>
        </w:tc>
        <w:tc>
          <w:tcPr>
            <w:tcW w:w="180" w:type="dxa"/>
            <w:tcMar>
              <w:left w:w="60" w:type="dxa"/>
              <w:right w:w="60" w:type="dxa"/>
            </w:tcMar>
            <w:vAlign w:val="bottom"/>
          </w:tcPr>
          <w:p w:rsidR="005E0D39" w:rsidRDefault="005E0D39">
            <w:pPr>
              <w:keepNext/>
              <w:keepLines/>
              <w:spacing w:before="40" w:after="40"/>
            </w:pPr>
          </w:p>
        </w:tc>
        <w:tc>
          <w:tcPr>
            <w:tcW w:w="0" w:type="dxa"/>
            <w:gridSpan w:val="3"/>
            <w:tcMar>
              <w:left w:w="60" w:type="dxa"/>
              <w:right w:w="60" w:type="dxa"/>
            </w:tcMar>
            <w:vAlign w:val="bottom"/>
          </w:tcPr>
          <w:p w:rsidR="005E0D39" w:rsidRDefault="005E0D39">
            <w:pPr>
              <w:keepNext/>
              <w:keepLines/>
              <w:spacing w:before="40" w:after="40"/>
            </w:pPr>
          </w:p>
        </w:tc>
        <w:tc>
          <w:tcPr>
            <w:tcW w:w="200" w:type="dxa"/>
            <w:tcMar>
              <w:left w:w="60" w:type="dxa"/>
              <w:right w:w="60" w:type="dxa"/>
            </w:tcMar>
            <w:vAlign w:val="bottom"/>
          </w:tcPr>
          <w:p w:rsidR="005E0D39" w:rsidRDefault="005E0D39">
            <w:pPr>
              <w:keepNext/>
              <w:keepLines/>
              <w:spacing w:before="40" w:after="40"/>
            </w:pPr>
          </w:p>
        </w:tc>
        <w:tc>
          <w:tcPr>
            <w:tcW w:w="0" w:type="dxa"/>
            <w:gridSpan w:val="3"/>
            <w:tcMar>
              <w:left w:w="60" w:type="dxa"/>
              <w:right w:w="60" w:type="dxa"/>
            </w:tcMar>
            <w:vAlign w:val="bottom"/>
          </w:tcPr>
          <w:p w:rsidR="005E0D39" w:rsidRDefault="005E0D39">
            <w:pPr>
              <w:keepNext/>
              <w:keepLines/>
              <w:spacing w:before="40" w:after="40"/>
            </w:pPr>
          </w:p>
        </w:tc>
      </w:tr>
      <w:tr w:rsidR="005E0D39">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Net sales</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173" w:type="dxa"/>
            <w:tcMar>
              <w:left w:w="0" w:type="dxa"/>
              <w:right w:w="0" w:type="dxa"/>
            </w:tcMar>
            <w:vAlign w:val="bottom"/>
          </w:tcPr>
          <w:p w:rsidR="005E0D39" w:rsidRDefault="00DF02D8">
            <w:pPr>
              <w:keepNext/>
              <w:keepLines/>
              <w:spacing w:before="40" w:after="40"/>
              <w:jc w:val="right"/>
              <w:rPr>
                <w:b/>
              </w:rPr>
            </w:pPr>
            <w:r>
              <w:rPr>
                <w:b/>
                <w:color w:val="000000"/>
              </w:rPr>
              <w:t>1,006.9</w:t>
            </w:r>
          </w:p>
        </w:tc>
        <w:tc>
          <w:tcPr>
            <w:tcW w:w="77" w:type="dxa"/>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153" w:type="dxa"/>
            <w:tcMar>
              <w:left w:w="0" w:type="dxa"/>
              <w:right w:w="0" w:type="dxa"/>
            </w:tcMar>
            <w:vAlign w:val="bottom"/>
          </w:tcPr>
          <w:p w:rsidR="005E0D39" w:rsidRDefault="00DF02D8">
            <w:pPr>
              <w:keepNext/>
              <w:keepLines/>
              <w:spacing w:before="40" w:after="40"/>
              <w:jc w:val="right"/>
            </w:pPr>
            <w:r>
              <w:rPr>
                <w:color w:val="000000"/>
              </w:rPr>
              <w:t>971.6</w:t>
            </w:r>
          </w:p>
        </w:tc>
        <w:tc>
          <w:tcPr>
            <w:tcW w:w="77" w:type="dxa"/>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153" w:type="dxa"/>
            <w:tcMar>
              <w:left w:w="0" w:type="dxa"/>
              <w:right w:w="0" w:type="dxa"/>
            </w:tcMar>
            <w:vAlign w:val="bottom"/>
          </w:tcPr>
          <w:p w:rsidR="005E0D39" w:rsidRDefault="00DF02D8">
            <w:pPr>
              <w:keepNext/>
              <w:keepLines/>
              <w:spacing w:before="40" w:after="40"/>
              <w:jc w:val="right"/>
              <w:rPr>
                <w:b/>
              </w:rPr>
            </w:pPr>
            <w:r>
              <w:rPr>
                <w:b/>
                <w:color w:val="000000"/>
              </w:rPr>
              <w:t>3,001.5</w:t>
            </w:r>
          </w:p>
        </w:tc>
        <w:tc>
          <w:tcPr>
            <w:tcW w:w="77" w:type="dxa"/>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213" w:type="dxa"/>
            <w:tcMar>
              <w:left w:w="0" w:type="dxa"/>
              <w:right w:w="0" w:type="dxa"/>
            </w:tcMar>
            <w:vAlign w:val="bottom"/>
          </w:tcPr>
          <w:p w:rsidR="005E0D39" w:rsidRDefault="00DF02D8">
            <w:pPr>
              <w:keepNext/>
              <w:keepLines/>
              <w:spacing w:before="40" w:after="40"/>
              <w:jc w:val="right"/>
            </w:pPr>
            <w:r>
              <w:rPr>
                <w:color w:val="000000"/>
              </w:rPr>
              <w:t>2,944.7</w:t>
            </w:r>
          </w:p>
        </w:tc>
        <w:tc>
          <w:tcPr>
            <w:tcW w:w="77" w:type="dxa"/>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Cost of goods sold</w:t>
            </w: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825.7</w:t>
            </w:r>
          </w:p>
        </w:tc>
        <w:tc>
          <w:tcPr>
            <w:tcW w:w="77" w:type="dxa"/>
            <w:tcBorders>
              <w:bottom w:val="single" w:sz="8"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813.3</w:t>
            </w:r>
          </w:p>
        </w:tc>
        <w:tc>
          <w:tcPr>
            <w:tcW w:w="77" w:type="dxa"/>
            <w:tcBorders>
              <w:bottom w:val="single" w:sz="8"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2,454.9</w:t>
            </w:r>
          </w:p>
        </w:tc>
        <w:tc>
          <w:tcPr>
            <w:tcW w:w="77" w:type="dxa"/>
            <w:tcBorders>
              <w:bottom w:val="single" w:sz="8"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2,469.1</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Gross profit</w:t>
            </w: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181.2</w:t>
            </w:r>
          </w:p>
        </w:tc>
        <w:tc>
          <w:tcPr>
            <w:tcW w:w="77" w:type="dxa"/>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pPr>
            <w:r>
              <w:rPr>
                <w:color w:val="000000"/>
              </w:rPr>
              <w:t>158.3</w:t>
            </w:r>
          </w:p>
        </w:tc>
        <w:tc>
          <w:tcPr>
            <w:tcW w:w="77" w:type="dxa"/>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rPr>
                <w:b/>
              </w:rPr>
            </w:pPr>
            <w:r>
              <w:rPr>
                <w:b/>
                <w:color w:val="000000"/>
              </w:rPr>
              <w:t>546.6</w:t>
            </w:r>
          </w:p>
        </w:tc>
        <w:tc>
          <w:tcPr>
            <w:tcW w:w="77" w:type="dxa"/>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475.6</w:t>
            </w:r>
          </w:p>
        </w:tc>
        <w:tc>
          <w:tcPr>
            <w:tcW w:w="77" w:type="dxa"/>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Selling, general and administrative expenses</w:t>
            </w: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79.9</w:t>
            </w:r>
          </w:p>
        </w:tc>
        <w:tc>
          <w:tcPr>
            <w:tcW w:w="77" w:type="dxa"/>
            <w:tcBorders>
              <w:bottom w:val="single" w:sz="8"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65.5</w:t>
            </w:r>
          </w:p>
        </w:tc>
        <w:tc>
          <w:tcPr>
            <w:tcW w:w="77" w:type="dxa"/>
            <w:tcBorders>
              <w:bottom w:val="single" w:sz="8"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235.4</w:t>
            </w:r>
          </w:p>
        </w:tc>
        <w:tc>
          <w:tcPr>
            <w:tcW w:w="77" w:type="dxa"/>
            <w:tcBorders>
              <w:bottom w:val="single" w:sz="8"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204.6</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Operating income</w:t>
            </w: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101.3</w:t>
            </w:r>
          </w:p>
        </w:tc>
        <w:tc>
          <w:tcPr>
            <w:tcW w:w="77" w:type="dxa"/>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pPr>
            <w:r>
              <w:rPr>
                <w:color w:val="000000"/>
              </w:rPr>
              <w:t>92.8</w:t>
            </w:r>
          </w:p>
        </w:tc>
        <w:tc>
          <w:tcPr>
            <w:tcW w:w="77" w:type="dxa"/>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rPr>
                <w:b/>
              </w:rPr>
            </w:pPr>
            <w:r>
              <w:rPr>
                <w:b/>
                <w:color w:val="000000"/>
              </w:rPr>
              <w:t>311.2</w:t>
            </w:r>
          </w:p>
        </w:tc>
        <w:tc>
          <w:tcPr>
            <w:tcW w:w="77" w:type="dxa"/>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271.0</w:t>
            </w:r>
          </w:p>
        </w:tc>
        <w:tc>
          <w:tcPr>
            <w:tcW w:w="77" w:type="dxa"/>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Interest expense</w:t>
            </w: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(23.2</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20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pPr>
            <w:r>
              <w:rPr>
                <w:color w:val="000000"/>
              </w:rPr>
              <w:t>(24.8</w:t>
            </w:r>
          </w:p>
        </w:tc>
        <w:tc>
          <w:tcPr>
            <w:tcW w:w="77" w:type="dxa"/>
            <w:tcMar>
              <w:left w:w="0" w:type="dxa"/>
              <w:right w:w="0" w:type="dxa"/>
            </w:tcMar>
            <w:vAlign w:val="bottom"/>
          </w:tcPr>
          <w:p w:rsidR="005E0D39" w:rsidRDefault="00DF02D8">
            <w:pPr>
              <w:keepNext/>
              <w:keepLines/>
              <w:spacing w:before="40" w:after="40"/>
            </w:pPr>
            <w:r>
              <w:rPr>
                <w:color w:val="000000"/>
              </w:rPr>
              <w:t>)</w:t>
            </w:r>
          </w:p>
        </w:tc>
        <w:tc>
          <w:tcPr>
            <w:tcW w:w="18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rPr>
                <w:b/>
              </w:rPr>
            </w:pPr>
            <w:r>
              <w:rPr>
                <w:b/>
                <w:color w:val="000000"/>
              </w:rPr>
              <w:t>(70.2</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200" w:type="dxa"/>
            <w:tcMar>
              <w:left w:w="60" w:type="dxa"/>
              <w:right w:w="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(74.7</w:t>
            </w:r>
          </w:p>
        </w:tc>
        <w:tc>
          <w:tcPr>
            <w:tcW w:w="77" w:type="dxa"/>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Investment income</w:t>
            </w: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0.5</w:t>
            </w:r>
          </w:p>
        </w:tc>
        <w:tc>
          <w:tcPr>
            <w:tcW w:w="77" w:type="dxa"/>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pPr>
            <w:r>
              <w:rPr>
                <w:color w:val="000000"/>
              </w:rPr>
              <w:t>0.6</w:t>
            </w:r>
          </w:p>
        </w:tc>
        <w:tc>
          <w:tcPr>
            <w:tcW w:w="77" w:type="dxa"/>
            <w:tcMar>
              <w:left w:w="0" w:type="dxa"/>
              <w:right w:w="0" w:type="dxa"/>
            </w:tcMar>
          </w:tcPr>
          <w:p w:rsidR="005E0D39" w:rsidRDefault="005E0D39"/>
        </w:tc>
        <w:tc>
          <w:tcPr>
            <w:tcW w:w="180" w:type="dxa"/>
            <w:tcMar>
              <w:left w:w="60" w:type="dxa"/>
              <w:right w:w="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rPr>
                <w:b/>
              </w:rPr>
            </w:pPr>
            <w:r>
              <w:rPr>
                <w:b/>
                <w:color w:val="000000"/>
              </w:rPr>
              <w:t>2.6</w:t>
            </w:r>
          </w:p>
        </w:tc>
        <w:tc>
          <w:tcPr>
            <w:tcW w:w="77" w:type="dxa"/>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2.0</w:t>
            </w:r>
          </w:p>
        </w:tc>
        <w:tc>
          <w:tcPr>
            <w:tcW w:w="77" w:type="dxa"/>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20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8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Other income, net</w:t>
            </w: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0.9</w:t>
            </w:r>
          </w:p>
        </w:tc>
        <w:tc>
          <w:tcPr>
            <w:tcW w:w="77" w:type="dxa"/>
            <w:tcBorders>
              <w:bottom w:val="single" w:sz="8"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6.7</w:t>
            </w:r>
          </w:p>
        </w:tc>
        <w:tc>
          <w:tcPr>
            <w:tcW w:w="77" w:type="dxa"/>
            <w:tcBorders>
              <w:bottom w:val="single" w:sz="8"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4.0</w:t>
            </w:r>
          </w:p>
        </w:tc>
        <w:tc>
          <w:tcPr>
            <w:tcW w:w="77" w:type="dxa"/>
            <w:tcBorders>
              <w:bottom w:val="single" w:sz="8"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10.9</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Income before income taxes</w:t>
            </w: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79.5</w:t>
            </w:r>
          </w:p>
        </w:tc>
        <w:tc>
          <w:tcPr>
            <w:tcW w:w="77" w:type="dxa"/>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pPr>
            <w:r>
              <w:rPr>
                <w:color w:val="000000"/>
              </w:rPr>
              <w:t>75.3</w:t>
            </w:r>
          </w:p>
        </w:tc>
        <w:tc>
          <w:tcPr>
            <w:tcW w:w="77" w:type="dxa"/>
            <w:tcMar>
              <w:left w:w="0" w:type="dxa"/>
              <w:right w:w="0" w:type="dxa"/>
            </w:tcMar>
          </w:tcPr>
          <w:p w:rsidR="005E0D39" w:rsidRDefault="005E0D39"/>
        </w:tc>
        <w:tc>
          <w:tcPr>
            <w:tcW w:w="180" w:type="dxa"/>
            <w:tcMar>
              <w:left w:w="60" w:type="dxa"/>
              <w:right w:w="0" w:type="dxa"/>
            </w:tcMar>
            <w:vAlign w:val="bottom"/>
          </w:tcPr>
          <w:p w:rsidR="005E0D39" w:rsidRDefault="005E0D39">
            <w:pPr>
              <w:keepNext/>
              <w:keepLines/>
              <w:spacing w:before="40" w:after="40"/>
            </w:pPr>
          </w:p>
        </w:tc>
        <w:tc>
          <w:tcPr>
            <w:tcW w:w="1263" w:type="dxa"/>
            <w:gridSpan w:val="2"/>
            <w:tcMar>
              <w:left w:w="0" w:type="dxa"/>
              <w:right w:w="0" w:type="dxa"/>
            </w:tcMar>
            <w:vAlign w:val="bottom"/>
          </w:tcPr>
          <w:p w:rsidR="005E0D39" w:rsidRDefault="00DF02D8">
            <w:pPr>
              <w:keepNext/>
              <w:keepLines/>
              <w:spacing w:before="40" w:after="40"/>
              <w:jc w:val="right"/>
              <w:rPr>
                <w:b/>
              </w:rPr>
            </w:pPr>
            <w:r>
              <w:rPr>
                <w:b/>
                <w:color w:val="000000"/>
              </w:rPr>
              <w:t>247.6</w:t>
            </w:r>
          </w:p>
        </w:tc>
        <w:tc>
          <w:tcPr>
            <w:tcW w:w="77" w:type="dxa"/>
            <w:tcMar>
              <w:left w:w="0" w:type="dxa"/>
              <w:right w:w="0" w:type="dxa"/>
            </w:tcMar>
          </w:tcPr>
          <w:p w:rsidR="005E0D39" w:rsidRDefault="005E0D39"/>
        </w:tc>
        <w:tc>
          <w:tcPr>
            <w:tcW w:w="200" w:type="dxa"/>
            <w:tcMar>
              <w:left w:w="0" w:type="dxa"/>
              <w:right w:w="18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209.2</w:t>
            </w:r>
          </w:p>
        </w:tc>
        <w:tc>
          <w:tcPr>
            <w:tcW w:w="77" w:type="dxa"/>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20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8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Income tax expense</w:t>
            </w: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17.8</w:t>
            </w:r>
          </w:p>
        </w:tc>
        <w:tc>
          <w:tcPr>
            <w:tcW w:w="77" w:type="dxa"/>
            <w:tcBorders>
              <w:bottom w:val="single" w:sz="8"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14.4</w:t>
            </w:r>
          </w:p>
        </w:tc>
        <w:tc>
          <w:tcPr>
            <w:tcW w:w="77" w:type="dxa"/>
            <w:tcBorders>
              <w:bottom w:val="single" w:sz="8"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2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53.8</w:t>
            </w:r>
          </w:p>
        </w:tc>
        <w:tc>
          <w:tcPr>
            <w:tcW w:w="77" w:type="dxa"/>
            <w:tcBorders>
              <w:bottom w:val="single" w:sz="8"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36.5</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Net income</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17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61.7</w:t>
            </w:r>
          </w:p>
        </w:tc>
        <w:tc>
          <w:tcPr>
            <w:tcW w:w="77" w:type="dxa"/>
            <w:tcBorders>
              <w:bottom w:val="double" w:sz="4"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15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60.9</w:t>
            </w:r>
          </w:p>
        </w:tc>
        <w:tc>
          <w:tcPr>
            <w:tcW w:w="77" w:type="dxa"/>
            <w:tcBorders>
              <w:bottom w:val="double" w:sz="4"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15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193.8</w:t>
            </w:r>
          </w:p>
        </w:tc>
        <w:tc>
          <w:tcPr>
            <w:tcW w:w="77" w:type="dxa"/>
            <w:tcBorders>
              <w:bottom w:val="double" w:sz="4"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2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172.7</w:t>
            </w:r>
          </w:p>
        </w:tc>
        <w:tc>
          <w:tcPr>
            <w:tcW w:w="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2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4120" w:type="dxa"/>
            <w:tcMar>
              <w:left w:w="60" w:type="dxa"/>
              <w:right w:w="40" w:type="dxa"/>
            </w:tcMar>
            <w:vAlign w:val="bottom"/>
          </w:tcPr>
          <w:p w:rsidR="005E0D39" w:rsidRDefault="00DF02D8">
            <w:pPr>
              <w:keepNext/>
              <w:keepLines/>
              <w:spacing w:before="40" w:after="40"/>
            </w:pPr>
            <w:r>
              <w:rPr>
                <w:color w:val="000000"/>
              </w:rPr>
              <w:t>Diluted earnings per share</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17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0.78</w:t>
            </w:r>
          </w:p>
        </w:tc>
        <w:tc>
          <w:tcPr>
            <w:tcW w:w="77" w:type="dxa"/>
            <w:tcBorders>
              <w:bottom w:val="double" w:sz="4" w:space="0" w:color="auto"/>
            </w:tcBorders>
            <w:tcMar>
              <w:left w:w="0" w:type="dxa"/>
              <w:right w:w="0" w:type="dxa"/>
            </w:tcMar>
          </w:tcPr>
          <w:p w:rsidR="005E0D39" w:rsidRDefault="005E0D39"/>
        </w:tc>
        <w:tc>
          <w:tcPr>
            <w:tcW w:w="20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15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0.78</w:t>
            </w:r>
          </w:p>
        </w:tc>
        <w:tc>
          <w:tcPr>
            <w:tcW w:w="77" w:type="dxa"/>
            <w:tcBorders>
              <w:bottom w:val="double" w:sz="4" w:space="0" w:color="auto"/>
            </w:tcBorders>
            <w:tcMar>
              <w:left w:w="0" w:type="dxa"/>
              <w:right w:w="0" w:type="dxa"/>
            </w:tcMar>
          </w:tcPr>
          <w:p w:rsidR="005E0D39" w:rsidRDefault="005E0D39"/>
        </w:tc>
        <w:tc>
          <w:tcPr>
            <w:tcW w:w="18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15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2.47</w:t>
            </w:r>
          </w:p>
        </w:tc>
        <w:tc>
          <w:tcPr>
            <w:tcW w:w="77" w:type="dxa"/>
            <w:tcBorders>
              <w:bottom w:val="double" w:sz="4" w:space="0" w:color="auto"/>
            </w:tcBorders>
            <w:tcMar>
              <w:left w:w="0" w:type="dxa"/>
              <w:right w:w="0" w:type="dxa"/>
            </w:tcMar>
          </w:tcPr>
          <w:p w:rsidR="005E0D39" w:rsidRDefault="005E0D39"/>
        </w:tc>
        <w:tc>
          <w:tcPr>
            <w:tcW w:w="20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2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2.21</w:t>
            </w:r>
          </w:p>
        </w:tc>
        <w:tc>
          <w:tcPr>
            <w:tcW w:w="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4120" w:type="dxa"/>
            <w:tcMar>
              <w:left w:w="60" w:type="dxa"/>
              <w:right w:w="0" w:type="dxa"/>
            </w:tcMar>
            <w:vAlign w:val="bottom"/>
          </w:tcPr>
          <w:p w:rsidR="005E0D39" w:rsidRDefault="005E0D39">
            <w:pPr>
              <w:keepLines/>
              <w:spacing w:before="40" w:after="40"/>
            </w:pPr>
          </w:p>
        </w:tc>
        <w:tc>
          <w:tcPr>
            <w:tcW w:w="0" w:type="dxa"/>
            <w:gridSpan w:val="3"/>
            <w:tcMar>
              <w:left w:w="60" w:type="dxa"/>
              <w:right w:w="0" w:type="dxa"/>
            </w:tcMar>
            <w:vAlign w:val="bottom"/>
          </w:tcPr>
          <w:p w:rsidR="005E0D39" w:rsidRDefault="005E0D39">
            <w:pPr>
              <w:keepLines/>
              <w:spacing w:before="40" w:after="40"/>
            </w:pPr>
          </w:p>
        </w:tc>
        <w:tc>
          <w:tcPr>
            <w:tcW w:w="200" w:type="dxa"/>
            <w:tcMar>
              <w:left w:w="60" w:type="dxa"/>
              <w:right w:w="0" w:type="dxa"/>
            </w:tcMar>
            <w:vAlign w:val="bottom"/>
          </w:tcPr>
          <w:p w:rsidR="005E0D39" w:rsidRDefault="005E0D39">
            <w:pPr>
              <w:keepLines/>
              <w:spacing w:before="40" w:after="40"/>
            </w:pPr>
          </w:p>
        </w:tc>
        <w:tc>
          <w:tcPr>
            <w:tcW w:w="0" w:type="dxa"/>
            <w:gridSpan w:val="3"/>
            <w:tcMar>
              <w:left w:w="60" w:type="dxa"/>
              <w:right w:w="0" w:type="dxa"/>
            </w:tcMar>
            <w:vAlign w:val="bottom"/>
          </w:tcPr>
          <w:p w:rsidR="005E0D39" w:rsidRDefault="005E0D39">
            <w:pPr>
              <w:keepLines/>
              <w:spacing w:before="40" w:after="40"/>
            </w:pPr>
          </w:p>
        </w:tc>
        <w:tc>
          <w:tcPr>
            <w:tcW w:w="180" w:type="dxa"/>
            <w:tcMar>
              <w:left w:w="60" w:type="dxa"/>
              <w:right w:w="0" w:type="dxa"/>
            </w:tcMar>
            <w:vAlign w:val="bottom"/>
          </w:tcPr>
          <w:p w:rsidR="005E0D39" w:rsidRDefault="005E0D39">
            <w:pPr>
              <w:keepLines/>
              <w:spacing w:before="40" w:after="40"/>
            </w:pPr>
          </w:p>
        </w:tc>
        <w:tc>
          <w:tcPr>
            <w:tcW w:w="0" w:type="dxa"/>
            <w:gridSpan w:val="3"/>
            <w:tcMar>
              <w:left w:w="60" w:type="dxa"/>
              <w:right w:w="0" w:type="dxa"/>
            </w:tcMar>
            <w:vAlign w:val="bottom"/>
          </w:tcPr>
          <w:p w:rsidR="005E0D39" w:rsidRDefault="005E0D39">
            <w:pPr>
              <w:keepLines/>
              <w:spacing w:before="40" w:after="40"/>
            </w:pPr>
          </w:p>
        </w:tc>
        <w:tc>
          <w:tcPr>
            <w:tcW w:w="200" w:type="dxa"/>
            <w:tcMar>
              <w:left w:w="60" w:type="dxa"/>
              <w:right w:w="0" w:type="dxa"/>
            </w:tcMar>
            <w:vAlign w:val="bottom"/>
          </w:tcPr>
          <w:p w:rsidR="005E0D39" w:rsidRDefault="005E0D39">
            <w:pPr>
              <w:keepLines/>
              <w:spacing w:before="40" w:after="40"/>
            </w:pPr>
          </w:p>
        </w:tc>
        <w:tc>
          <w:tcPr>
            <w:tcW w:w="0" w:type="dxa"/>
            <w:gridSpan w:val="3"/>
            <w:tcMar>
              <w:left w:w="60" w:type="dxa"/>
              <w:right w:w="0" w:type="dxa"/>
            </w:tcMar>
            <w:vAlign w:val="bottom"/>
          </w:tcPr>
          <w:p w:rsidR="005E0D39" w:rsidRDefault="005E0D39">
            <w:pPr>
              <w:keepLines/>
              <w:spacing w:before="40" w:after="40"/>
            </w:pPr>
          </w:p>
        </w:tc>
      </w:tr>
    </w:tbl>
    <w:p w:rsidR="005E0D39" w:rsidRDefault="005E0D39">
      <w:pPr>
        <w:spacing w:before="60" w:line="288" w:lineRule="auto"/>
      </w:pPr>
    </w:p>
    <w:p w:rsidR="005E0D39" w:rsidRDefault="005E0D39">
      <w:pPr>
        <w:sectPr w:rsidR="005E0D39">
          <w:headerReference w:type="default" r:id="rId11"/>
          <w:footerReference w:type="default" r:id="rId12"/>
          <w:pgSz w:w="12240" w:h="15840"/>
          <w:pgMar w:top="720" w:right="720" w:bottom="720" w:left="720" w:header="160" w:footer="320" w:gutter="0"/>
          <w:pgNumType w:chapSep="period"/>
          <w:cols w:space="720"/>
        </w:sectPr>
      </w:pPr>
    </w:p>
    <w:p w:rsidR="005E0D39" w:rsidRDefault="005E0D39">
      <w:pPr>
        <w:spacing w:line="288" w:lineRule="auto"/>
      </w:pPr>
      <w:bookmarkStart w:id="2" w:name="Statement_of_Comprehensive_Income"/>
      <w:bookmarkEnd w:id="2"/>
    </w:p>
    <w:p w:rsidR="005E0D39" w:rsidRDefault="00DF02D8">
      <w:pPr>
        <w:spacing w:line="288" w:lineRule="auto"/>
        <w:jc w:val="center"/>
        <w:rPr>
          <w:b/>
        </w:rPr>
      </w:pPr>
      <w:r>
        <w:rPr>
          <w:b/>
        </w:rPr>
        <w:t>AMERICAN AXLE &amp; MANUFACTURING HOLDINGS, INC.</w:t>
      </w:r>
    </w:p>
    <w:p w:rsidR="005E0D39" w:rsidRDefault="00DF02D8">
      <w:pPr>
        <w:spacing w:line="288" w:lineRule="auto"/>
        <w:jc w:val="center"/>
        <w:rPr>
          <w:b/>
        </w:rPr>
      </w:pPr>
      <w:r>
        <w:rPr>
          <w:b/>
        </w:rPr>
        <w:t>CONDENSED CONSOLIDATED STATEMENTS OF COMPREHENSIVE INCOME</w:t>
      </w:r>
    </w:p>
    <w:p w:rsidR="005E0D39" w:rsidRDefault="00DF02D8">
      <w:pPr>
        <w:spacing w:after="140"/>
        <w:jc w:val="center"/>
        <w:rPr>
          <w:b/>
          <w:i/>
        </w:rPr>
      </w:pPr>
      <w:r>
        <w:rPr>
          <w:b/>
          <w:i/>
        </w:rPr>
        <w:t>(Unaudited)</w:t>
      </w:r>
    </w:p>
    <w:tbl>
      <w:tblPr>
        <w:tblW w:w="9940" w:type="dxa"/>
        <w:jc w:val="center"/>
        <w:tblLayout w:type="fixed"/>
        <w:tblCellMar>
          <w:left w:w="10" w:type="dxa"/>
          <w:right w:w="10" w:type="dxa"/>
        </w:tblCellMar>
        <w:tblLook w:val="04A0" w:firstRow="1" w:lastRow="0" w:firstColumn="1" w:lastColumn="0" w:noHBand="0" w:noVBand="1"/>
      </w:tblPr>
      <w:tblGrid>
        <w:gridCol w:w="5680"/>
        <w:gridCol w:w="110"/>
        <w:gridCol w:w="773"/>
        <w:gridCol w:w="77"/>
        <w:gridCol w:w="80"/>
        <w:gridCol w:w="110"/>
        <w:gridCol w:w="813"/>
        <w:gridCol w:w="77"/>
        <w:gridCol w:w="120"/>
        <w:gridCol w:w="110"/>
        <w:gridCol w:w="813"/>
        <w:gridCol w:w="77"/>
        <w:gridCol w:w="100"/>
        <w:gridCol w:w="110"/>
        <w:gridCol w:w="813"/>
        <w:gridCol w:w="77"/>
      </w:tblGrid>
      <w:tr w:rsidR="007070F7" w:rsidTr="007070F7">
        <w:trPr>
          <w:trHeight w:hRule="exact" w:val="280"/>
          <w:jc w:val="center"/>
        </w:trPr>
        <w:tc>
          <w:tcPr>
            <w:tcW w:w="5680" w:type="dxa"/>
            <w:tcMar>
              <w:left w:w="18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Three Months Ended</w:t>
            </w:r>
          </w:p>
        </w:tc>
        <w:tc>
          <w:tcPr>
            <w:tcW w:w="120" w:type="dxa"/>
            <w:tcMar>
              <w:left w:w="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Nine Months Ended</w:t>
            </w:r>
          </w:p>
        </w:tc>
      </w:tr>
      <w:tr w:rsidR="007070F7" w:rsidTr="007070F7">
        <w:trPr>
          <w:trHeight w:hRule="exact" w:val="28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c>
          <w:tcPr>
            <w:tcW w:w="120" w:type="dxa"/>
            <w:tcMar>
              <w:left w:w="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r>
      <w:tr w:rsidR="007070F7" w:rsidTr="007070F7">
        <w:trPr>
          <w:trHeight w:hRule="exact" w:val="28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c>
          <w:tcPr>
            <w:tcW w:w="12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10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r>
      <w:tr w:rsidR="007070F7" w:rsidTr="007070F7">
        <w:trPr>
          <w:trHeight w:hRule="exact" w:val="28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15"/>
            <w:tcMar>
              <w:left w:w="60" w:type="dxa"/>
              <w:right w:w="60" w:type="dxa"/>
            </w:tcMar>
            <w:vAlign w:val="bottom"/>
          </w:tcPr>
          <w:p w:rsidR="005E0D39" w:rsidRDefault="00DF02D8">
            <w:pPr>
              <w:keepNext/>
              <w:keepLines/>
              <w:spacing w:before="40" w:after="40"/>
              <w:jc w:val="center"/>
              <w:rPr>
                <w:i/>
                <w:sz w:val="16"/>
              </w:rPr>
            </w:pPr>
            <w:r>
              <w:rPr>
                <w:i/>
                <w:color w:val="000000"/>
                <w:sz w:val="16"/>
              </w:rPr>
              <w:t>(in millions)</w:t>
            </w:r>
          </w:p>
        </w:tc>
      </w:tr>
      <w:tr w:rsidR="007070F7" w:rsidTr="007070F7">
        <w:trPr>
          <w:trHeight w:hRule="exact" w:val="28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5680" w:type="dxa"/>
            <w:tcMar>
              <w:left w:w="60" w:type="dxa"/>
              <w:right w:w="40" w:type="dxa"/>
            </w:tcMar>
            <w:vAlign w:val="bottom"/>
          </w:tcPr>
          <w:p w:rsidR="005E0D39" w:rsidRDefault="00DF02D8">
            <w:pPr>
              <w:keepNext/>
              <w:keepLines/>
              <w:spacing w:before="40" w:after="40"/>
            </w:pPr>
            <w:r>
              <w:rPr>
                <w:color w:val="000000"/>
              </w:rPr>
              <w:t>Net income</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773" w:type="dxa"/>
            <w:tcMar>
              <w:left w:w="0" w:type="dxa"/>
              <w:right w:w="0" w:type="dxa"/>
            </w:tcMar>
            <w:vAlign w:val="bottom"/>
          </w:tcPr>
          <w:p w:rsidR="005E0D39" w:rsidRDefault="00DF02D8">
            <w:pPr>
              <w:keepNext/>
              <w:keepLines/>
              <w:spacing w:before="40" w:after="40"/>
              <w:jc w:val="right"/>
              <w:rPr>
                <w:b/>
              </w:rPr>
            </w:pPr>
            <w:r>
              <w:rPr>
                <w:b/>
                <w:color w:val="000000"/>
              </w:rPr>
              <w:t>61.7</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13" w:type="dxa"/>
            <w:tcMar>
              <w:left w:w="0" w:type="dxa"/>
              <w:right w:w="0" w:type="dxa"/>
            </w:tcMar>
            <w:vAlign w:val="bottom"/>
          </w:tcPr>
          <w:p w:rsidR="005E0D39" w:rsidRDefault="00DF02D8">
            <w:pPr>
              <w:keepNext/>
              <w:keepLines/>
              <w:spacing w:before="40" w:after="40"/>
              <w:jc w:val="right"/>
            </w:pPr>
            <w:r>
              <w:rPr>
                <w:color w:val="000000"/>
              </w:rPr>
              <w:t>60.9</w:t>
            </w:r>
          </w:p>
        </w:tc>
        <w:tc>
          <w:tcPr>
            <w:tcW w:w="77" w:type="dxa"/>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813" w:type="dxa"/>
            <w:tcMar>
              <w:left w:w="0" w:type="dxa"/>
              <w:right w:w="0" w:type="dxa"/>
            </w:tcMar>
            <w:vAlign w:val="bottom"/>
          </w:tcPr>
          <w:p w:rsidR="005E0D39" w:rsidRDefault="00DF02D8">
            <w:pPr>
              <w:keepNext/>
              <w:keepLines/>
              <w:spacing w:before="40" w:after="40"/>
              <w:jc w:val="right"/>
              <w:rPr>
                <w:b/>
              </w:rPr>
            </w:pPr>
            <w:r>
              <w:rPr>
                <w:b/>
                <w:color w:val="000000"/>
              </w:rPr>
              <w:t>193.8</w:t>
            </w:r>
          </w:p>
        </w:tc>
        <w:tc>
          <w:tcPr>
            <w:tcW w:w="77" w:type="dxa"/>
            <w:tcMar>
              <w:left w:w="0" w:type="dxa"/>
              <w:right w:w="0" w:type="dxa"/>
            </w:tcMar>
          </w:tcPr>
          <w:p w:rsidR="005E0D39" w:rsidRDefault="005E0D39"/>
        </w:tc>
        <w:tc>
          <w:tcPr>
            <w:tcW w:w="10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13" w:type="dxa"/>
            <w:tcMar>
              <w:left w:w="0" w:type="dxa"/>
              <w:right w:w="0" w:type="dxa"/>
            </w:tcMar>
            <w:vAlign w:val="bottom"/>
          </w:tcPr>
          <w:p w:rsidR="005E0D39" w:rsidRDefault="00DF02D8">
            <w:pPr>
              <w:keepNext/>
              <w:keepLines/>
              <w:spacing w:before="40" w:after="40"/>
              <w:jc w:val="right"/>
            </w:pPr>
            <w:r>
              <w:rPr>
                <w:color w:val="000000"/>
              </w:rPr>
              <w:t>172.7</w:t>
            </w:r>
          </w:p>
        </w:tc>
        <w:tc>
          <w:tcPr>
            <w:tcW w:w="77" w:type="dxa"/>
            <w:tcMar>
              <w:left w:w="0" w:type="dxa"/>
              <w:right w:w="0" w:type="dxa"/>
            </w:tcMar>
          </w:tcPr>
          <w:p w:rsidR="005E0D39" w:rsidRDefault="005E0D39"/>
        </w:tc>
      </w:tr>
      <w:tr w:rsidR="007070F7" w:rsidTr="007070F7">
        <w:trPr>
          <w:trHeight w:hRule="exact" w:val="32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680" w:type="dxa"/>
            <w:tcMar>
              <w:left w:w="60" w:type="dxa"/>
              <w:right w:w="40" w:type="dxa"/>
            </w:tcMar>
            <w:vAlign w:val="bottom"/>
          </w:tcPr>
          <w:p w:rsidR="005E0D39" w:rsidRDefault="00DF02D8">
            <w:pPr>
              <w:keepNext/>
              <w:keepLines/>
              <w:spacing w:before="40" w:after="40"/>
            </w:pPr>
            <w:r>
              <w:rPr>
                <w:color w:val="000000"/>
              </w:rPr>
              <w:t>Other comprehensive income (loss)</w:t>
            </w: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2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0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300"/>
          <w:jc w:val="center"/>
        </w:trPr>
        <w:tc>
          <w:tcPr>
            <w:tcW w:w="5680" w:type="dxa"/>
            <w:tcMar>
              <w:left w:w="420" w:type="dxa"/>
              <w:right w:w="40" w:type="dxa"/>
            </w:tcMar>
            <w:vAlign w:val="bottom"/>
          </w:tcPr>
          <w:p w:rsidR="005E0D39" w:rsidRDefault="00DF02D8">
            <w:pPr>
              <w:keepNext/>
              <w:keepLines/>
              <w:spacing w:before="40" w:after="40"/>
            </w:pPr>
            <w:r>
              <w:t xml:space="preserve">Defined benefit plans, net of tax </w:t>
            </w:r>
            <w:r>
              <w:rPr>
                <w:vertAlign w:val="superscript"/>
              </w:rPr>
              <w:t>(a)</w:t>
            </w:r>
          </w:p>
        </w:tc>
        <w:tc>
          <w:tcPr>
            <w:tcW w:w="883" w:type="dxa"/>
            <w:gridSpan w:val="2"/>
            <w:tcMar>
              <w:left w:w="0" w:type="dxa"/>
              <w:right w:w="0" w:type="dxa"/>
            </w:tcMar>
            <w:vAlign w:val="bottom"/>
          </w:tcPr>
          <w:p w:rsidR="005E0D39" w:rsidRDefault="00DF02D8">
            <w:pPr>
              <w:keepNext/>
              <w:keepLines/>
              <w:spacing w:before="40" w:after="40"/>
              <w:jc w:val="right"/>
              <w:rPr>
                <w:b/>
              </w:rPr>
            </w:pPr>
            <w:r>
              <w:rPr>
                <w:b/>
                <w:color w:val="000000"/>
              </w:rPr>
              <w:t>0.6</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pPr>
            <w:r>
              <w:rPr>
                <w:color w:val="000000"/>
              </w:rPr>
              <w:t>0.3</w:t>
            </w:r>
          </w:p>
        </w:tc>
        <w:tc>
          <w:tcPr>
            <w:tcW w:w="77" w:type="dxa"/>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rPr>
                <w:b/>
              </w:rPr>
            </w:pPr>
            <w:r>
              <w:rPr>
                <w:b/>
                <w:color w:val="000000"/>
              </w:rPr>
              <w:t>5.3</w:t>
            </w:r>
          </w:p>
        </w:tc>
        <w:tc>
          <w:tcPr>
            <w:tcW w:w="77" w:type="dxa"/>
            <w:tcMar>
              <w:left w:w="0" w:type="dxa"/>
              <w:right w:w="0" w:type="dxa"/>
            </w:tcMar>
          </w:tcPr>
          <w:p w:rsidR="005E0D39" w:rsidRDefault="005E0D39"/>
        </w:tc>
        <w:tc>
          <w:tcPr>
            <w:tcW w:w="100" w:type="dxa"/>
            <w:tcMar>
              <w:left w:w="0" w:type="dxa"/>
              <w:right w:w="6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pPr>
            <w:r>
              <w:rPr>
                <w:color w:val="000000"/>
              </w:rPr>
              <w:t>5.1</w:t>
            </w:r>
          </w:p>
        </w:tc>
        <w:tc>
          <w:tcPr>
            <w:tcW w:w="77" w:type="dxa"/>
            <w:tcMar>
              <w:left w:w="0" w:type="dxa"/>
              <w:right w:w="0" w:type="dxa"/>
            </w:tcMar>
          </w:tcPr>
          <w:p w:rsidR="005E0D39" w:rsidRDefault="005E0D39"/>
        </w:tc>
      </w:tr>
      <w:tr w:rsidR="007070F7" w:rsidTr="007070F7">
        <w:trPr>
          <w:trHeight w:hRule="exact" w:val="300"/>
          <w:jc w:val="center"/>
        </w:trPr>
        <w:tc>
          <w:tcPr>
            <w:tcW w:w="5680" w:type="dxa"/>
            <w:tcMar>
              <w:left w:w="420" w:type="dxa"/>
              <w:right w:w="40" w:type="dxa"/>
            </w:tcMar>
            <w:vAlign w:val="bottom"/>
          </w:tcPr>
          <w:p w:rsidR="005E0D39" w:rsidRDefault="00DF02D8">
            <w:pPr>
              <w:keepNext/>
              <w:keepLines/>
              <w:spacing w:before="40" w:after="40"/>
            </w:pPr>
            <w:r>
              <w:rPr>
                <w:color w:val="000000"/>
              </w:rPr>
              <w:t>Foreign currency translation adjustments</w:t>
            </w:r>
          </w:p>
        </w:tc>
        <w:tc>
          <w:tcPr>
            <w:tcW w:w="883" w:type="dxa"/>
            <w:gridSpan w:val="2"/>
            <w:tcMar>
              <w:left w:w="0" w:type="dxa"/>
              <w:right w:w="0" w:type="dxa"/>
            </w:tcMar>
            <w:vAlign w:val="bottom"/>
          </w:tcPr>
          <w:p w:rsidR="005E0D39" w:rsidRDefault="00DF02D8">
            <w:pPr>
              <w:keepNext/>
              <w:keepLines/>
              <w:spacing w:before="40" w:after="40"/>
              <w:jc w:val="right"/>
              <w:rPr>
                <w:b/>
              </w:rPr>
            </w:pPr>
            <w:r>
              <w:rPr>
                <w:b/>
                <w:color w:val="000000"/>
              </w:rPr>
              <w:t>(0.8</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pPr>
            <w:r>
              <w:rPr>
                <w:color w:val="000000"/>
              </w:rPr>
              <w:t>(35.9</w:t>
            </w:r>
          </w:p>
        </w:tc>
        <w:tc>
          <w:tcPr>
            <w:tcW w:w="77" w:type="dxa"/>
            <w:tcMar>
              <w:left w:w="0" w:type="dxa"/>
              <w:right w:w="0" w:type="dxa"/>
            </w:tcMar>
            <w:vAlign w:val="bottom"/>
          </w:tcPr>
          <w:p w:rsidR="005E0D39" w:rsidRDefault="00DF02D8">
            <w:pPr>
              <w:keepNext/>
              <w:keepLines/>
              <w:spacing w:before="40" w:after="40"/>
            </w:pPr>
            <w:r>
              <w:rPr>
                <w:color w:val="000000"/>
              </w:rPr>
              <w:t>)</w:t>
            </w:r>
          </w:p>
        </w:tc>
        <w:tc>
          <w:tcPr>
            <w:tcW w:w="120" w:type="dxa"/>
            <w:tcMar>
              <w:left w:w="0" w:type="dxa"/>
              <w:right w:w="6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rPr>
                <w:b/>
              </w:rPr>
            </w:pPr>
            <w:r>
              <w:rPr>
                <w:b/>
                <w:color w:val="000000"/>
              </w:rPr>
              <w:t>15.0</w:t>
            </w:r>
          </w:p>
        </w:tc>
        <w:tc>
          <w:tcPr>
            <w:tcW w:w="77" w:type="dxa"/>
            <w:tcMar>
              <w:left w:w="0" w:type="dxa"/>
              <w:right w:w="0" w:type="dxa"/>
            </w:tcMar>
          </w:tcPr>
          <w:p w:rsidR="005E0D39" w:rsidRDefault="005E0D39"/>
        </w:tc>
        <w:tc>
          <w:tcPr>
            <w:tcW w:w="100" w:type="dxa"/>
            <w:tcMar>
              <w:left w:w="0" w:type="dxa"/>
              <w:right w:w="60" w:type="dxa"/>
            </w:tcMar>
            <w:vAlign w:val="bottom"/>
          </w:tcPr>
          <w:p w:rsidR="005E0D39" w:rsidRDefault="005E0D39">
            <w:pPr>
              <w:keepNext/>
              <w:keepLines/>
              <w:spacing w:before="40" w:after="40"/>
            </w:pPr>
          </w:p>
        </w:tc>
        <w:tc>
          <w:tcPr>
            <w:tcW w:w="923" w:type="dxa"/>
            <w:gridSpan w:val="2"/>
            <w:tcMar>
              <w:left w:w="0" w:type="dxa"/>
              <w:right w:w="0" w:type="dxa"/>
            </w:tcMar>
            <w:vAlign w:val="bottom"/>
          </w:tcPr>
          <w:p w:rsidR="005E0D39" w:rsidRDefault="00DF02D8">
            <w:pPr>
              <w:keepNext/>
              <w:keepLines/>
              <w:spacing w:before="40" w:after="40"/>
              <w:jc w:val="right"/>
            </w:pPr>
            <w:r>
              <w:rPr>
                <w:color w:val="000000"/>
              </w:rPr>
              <w:t>(64.4</w:t>
            </w:r>
          </w:p>
        </w:tc>
        <w:tc>
          <w:tcPr>
            <w:tcW w:w="77" w:type="dxa"/>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00"/>
          <w:jc w:val="center"/>
        </w:trPr>
        <w:tc>
          <w:tcPr>
            <w:tcW w:w="5680" w:type="dxa"/>
            <w:tcMar>
              <w:left w:w="420" w:type="dxa"/>
              <w:right w:w="40" w:type="dxa"/>
            </w:tcMar>
            <w:vAlign w:val="bottom"/>
          </w:tcPr>
          <w:p w:rsidR="005E0D39" w:rsidRDefault="00DF02D8">
            <w:pPr>
              <w:keepNext/>
              <w:keepLines/>
              <w:spacing w:before="40" w:after="40"/>
            </w:pPr>
            <w:r>
              <w:rPr>
                <w:color w:val="000000"/>
              </w:rPr>
              <w:t>Changes in cash flow hedges</w:t>
            </w:r>
          </w:p>
        </w:tc>
        <w:tc>
          <w:tcPr>
            <w:tcW w:w="8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(4.1</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9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(7.7</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20" w:type="dxa"/>
            <w:tcMar>
              <w:left w:w="0" w:type="dxa"/>
              <w:right w:w="60" w:type="dxa"/>
            </w:tcMar>
            <w:vAlign w:val="bottom"/>
          </w:tcPr>
          <w:p w:rsidR="005E0D39" w:rsidRDefault="005E0D39">
            <w:pPr>
              <w:keepNext/>
              <w:keepLines/>
              <w:spacing w:before="40" w:after="40"/>
            </w:pPr>
          </w:p>
        </w:tc>
        <w:tc>
          <w:tcPr>
            <w:tcW w:w="9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(6.4</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00" w:type="dxa"/>
            <w:tcMar>
              <w:left w:w="0" w:type="dxa"/>
              <w:right w:w="60" w:type="dxa"/>
            </w:tcMar>
            <w:vAlign w:val="bottom"/>
          </w:tcPr>
          <w:p w:rsidR="005E0D39" w:rsidRDefault="005E0D39">
            <w:pPr>
              <w:keepNext/>
              <w:keepLines/>
              <w:spacing w:before="40" w:after="40"/>
            </w:pPr>
          </w:p>
        </w:tc>
        <w:tc>
          <w:tcPr>
            <w:tcW w:w="9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(9.4</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20"/>
          <w:jc w:val="center"/>
        </w:trPr>
        <w:tc>
          <w:tcPr>
            <w:tcW w:w="5680" w:type="dxa"/>
            <w:tcMar>
              <w:left w:w="60" w:type="dxa"/>
              <w:right w:w="40" w:type="dxa"/>
            </w:tcMar>
            <w:vAlign w:val="bottom"/>
          </w:tcPr>
          <w:p w:rsidR="005E0D39" w:rsidRDefault="00DF02D8">
            <w:pPr>
              <w:keepNext/>
              <w:keepLines/>
              <w:spacing w:before="40" w:after="40"/>
            </w:pPr>
            <w:r>
              <w:rPr>
                <w:color w:val="000000"/>
              </w:rPr>
              <w:t>Other comprehensive income (loss)</w:t>
            </w:r>
          </w:p>
        </w:tc>
        <w:tc>
          <w:tcPr>
            <w:tcW w:w="88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(4.3</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92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(43.3</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20" w:type="dxa"/>
            <w:tcMar>
              <w:left w:w="60" w:type="dxa"/>
              <w:right w:w="0" w:type="dxa"/>
            </w:tcMar>
            <w:vAlign w:val="bottom"/>
          </w:tcPr>
          <w:p w:rsidR="005E0D39" w:rsidRDefault="005E0D39">
            <w:pPr>
              <w:keepNext/>
              <w:keepLines/>
              <w:spacing w:before="40" w:after="40"/>
            </w:pPr>
          </w:p>
        </w:tc>
        <w:tc>
          <w:tcPr>
            <w:tcW w:w="92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13.9</w:t>
            </w:r>
          </w:p>
        </w:tc>
        <w:tc>
          <w:tcPr>
            <w:tcW w:w="77" w:type="dxa"/>
            <w:tcBorders>
              <w:top w:val="single" w:sz="8" w:space="0" w:color="auto"/>
              <w:bottom w:val="single" w:sz="8" w:space="0" w:color="auto"/>
            </w:tcBorders>
            <w:tcMar>
              <w:left w:w="0" w:type="dxa"/>
              <w:right w:w="0" w:type="dxa"/>
            </w:tcMar>
          </w:tcPr>
          <w:p w:rsidR="005E0D39" w:rsidRDefault="005E0D39"/>
        </w:tc>
        <w:tc>
          <w:tcPr>
            <w:tcW w:w="100" w:type="dxa"/>
            <w:tcMar>
              <w:left w:w="60" w:type="dxa"/>
              <w:right w:w="0" w:type="dxa"/>
            </w:tcMar>
            <w:vAlign w:val="bottom"/>
          </w:tcPr>
          <w:p w:rsidR="005E0D39" w:rsidRDefault="005E0D39">
            <w:pPr>
              <w:keepNext/>
              <w:keepLines/>
              <w:spacing w:before="40" w:after="40"/>
            </w:pPr>
          </w:p>
        </w:tc>
        <w:tc>
          <w:tcPr>
            <w:tcW w:w="92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(68.7</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240"/>
          <w:jc w:val="center"/>
        </w:trPr>
        <w:tc>
          <w:tcPr>
            <w:tcW w:w="56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20"/>
          <w:jc w:val="center"/>
        </w:trPr>
        <w:tc>
          <w:tcPr>
            <w:tcW w:w="5680" w:type="dxa"/>
            <w:tcMar>
              <w:left w:w="60" w:type="dxa"/>
              <w:right w:w="40" w:type="dxa"/>
            </w:tcMar>
            <w:vAlign w:val="bottom"/>
          </w:tcPr>
          <w:p w:rsidR="005E0D39" w:rsidRDefault="00DF02D8">
            <w:pPr>
              <w:keepNext/>
              <w:keepLines/>
              <w:spacing w:before="40" w:after="40"/>
            </w:pPr>
            <w:r>
              <w:rPr>
                <w:color w:val="000000"/>
              </w:rPr>
              <w:t>Comprehensive income</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77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57.4</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8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17.6</w:t>
            </w:r>
          </w:p>
        </w:tc>
        <w:tc>
          <w:tcPr>
            <w:tcW w:w="77" w:type="dxa"/>
            <w:tcBorders>
              <w:bottom w:val="double" w:sz="4" w:space="0" w:color="auto"/>
            </w:tcBorders>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1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207.7</w:t>
            </w:r>
          </w:p>
        </w:tc>
        <w:tc>
          <w:tcPr>
            <w:tcW w:w="77" w:type="dxa"/>
            <w:tcBorders>
              <w:bottom w:val="double" w:sz="4" w:space="0" w:color="auto"/>
            </w:tcBorders>
            <w:tcMar>
              <w:left w:w="0" w:type="dxa"/>
              <w:right w:w="0" w:type="dxa"/>
            </w:tcMar>
          </w:tcPr>
          <w:p w:rsidR="005E0D39" w:rsidRDefault="005E0D39"/>
        </w:tc>
        <w:tc>
          <w:tcPr>
            <w:tcW w:w="100" w:type="dxa"/>
            <w:tcMar>
              <w:left w:w="0" w:type="dxa"/>
              <w:right w:w="6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8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104.0</w:t>
            </w:r>
          </w:p>
        </w:tc>
        <w:tc>
          <w:tcPr>
            <w:tcW w:w="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5680" w:type="dxa"/>
            <w:tcMar>
              <w:left w:w="60" w:type="dxa"/>
              <w:right w:w="0" w:type="dxa"/>
            </w:tcMar>
            <w:vAlign w:val="bottom"/>
          </w:tcPr>
          <w:p w:rsidR="005E0D39" w:rsidRDefault="005E0D39">
            <w:pPr>
              <w:keepLines/>
              <w:spacing w:before="40" w:after="40"/>
            </w:pPr>
          </w:p>
        </w:tc>
        <w:tc>
          <w:tcPr>
            <w:tcW w:w="0" w:type="dxa"/>
            <w:gridSpan w:val="3"/>
            <w:tcMar>
              <w:left w:w="0" w:type="dxa"/>
              <w:right w:w="60" w:type="dxa"/>
            </w:tcMar>
            <w:vAlign w:val="bottom"/>
          </w:tcPr>
          <w:p w:rsidR="005E0D39" w:rsidRDefault="005E0D39">
            <w:pPr>
              <w:keepLines/>
              <w:spacing w:before="40" w:after="40"/>
            </w:pPr>
          </w:p>
        </w:tc>
        <w:tc>
          <w:tcPr>
            <w:tcW w:w="80" w:type="dxa"/>
            <w:tcMar>
              <w:left w:w="60" w:type="dxa"/>
              <w:right w:w="0" w:type="dxa"/>
            </w:tcMar>
            <w:vAlign w:val="bottom"/>
          </w:tcPr>
          <w:p w:rsidR="005E0D39" w:rsidRDefault="005E0D39">
            <w:pPr>
              <w:keepLines/>
              <w:spacing w:before="40" w:after="40"/>
            </w:pPr>
          </w:p>
        </w:tc>
        <w:tc>
          <w:tcPr>
            <w:tcW w:w="0" w:type="dxa"/>
            <w:gridSpan w:val="3"/>
            <w:tcMar>
              <w:left w:w="0" w:type="dxa"/>
              <w:right w:w="60" w:type="dxa"/>
            </w:tcMar>
            <w:vAlign w:val="bottom"/>
          </w:tcPr>
          <w:p w:rsidR="005E0D39" w:rsidRDefault="005E0D39">
            <w:pPr>
              <w:keepLines/>
              <w:spacing w:before="40" w:after="40"/>
            </w:pPr>
          </w:p>
        </w:tc>
        <w:tc>
          <w:tcPr>
            <w:tcW w:w="120" w:type="dxa"/>
            <w:tcMar>
              <w:left w:w="0" w:type="dxa"/>
              <w:right w:w="60" w:type="dxa"/>
            </w:tcMar>
            <w:vAlign w:val="bottom"/>
          </w:tcPr>
          <w:p w:rsidR="005E0D39" w:rsidRDefault="005E0D39">
            <w:pPr>
              <w:keepLines/>
              <w:spacing w:before="40" w:after="40"/>
            </w:pPr>
          </w:p>
        </w:tc>
        <w:tc>
          <w:tcPr>
            <w:tcW w:w="0" w:type="dxa"/>
            <w:gridSpan w:val="3"/>
            <w:tcMar>
              <w:left w:w="0" w:type="dxa"/>
              <w:right w:w="60" w:type="dxa"/>
            </w:tcMar>
            <w:vAlign w:val="bottom"/>
          </w:tcPr>
          <w:p w:rsidR="005E0D39" w:rsidRDefault="005E0D39">
            <w:pPr>
              <w:keepLines/>
              <w:spacing w:before="40" w:after="40"/>
            </w:pPr>
          </w:p>
        </w:tc>
        <w:tc>
          <w:tcPr>
            <w:tcW w:w="100" w:type="dxa"/>
            <w:tcMar>
              <w:left w:w="0" w:type="dxa"/>
              <w:right w:w="60" w:type="dxa"/>
            </w:tcMar>
            <w:vAlign w:val="bottom"/>
          </w:tcPr>
          <w:p w:rsidR="005E0D39" w:rsidRDefault="005E0D39">
            <w:pPr>
              <w:keepLines/>
              <w:spacing w:before="40" w:after="40"/>
            </w:pPr>
          </w:p>
        </w:tc>
        <w:tc>
          <w:tcPr>
            <w:tcW w:w="0" w:type="dxa"/>
            <w:gridSpan w:val="3"/>
            <w:tcMar>
              <w:left w:w="0" w:type="dxa"/>
              <w:right w:w="60" w:type="dxa"/>
            </w:tcMar>
            <w:vAlign w:val="bottom"/>
          </w:tcPr>
          <w:p w:rsidR="005E0D39" w:rsidRDefault="005E0D39">
            <w:pPr>
              <w:keepLines/>
              <w:spacing w:before="40" w:after="40"/>
            </w:pPr>
          </w:p>
        </w:tc>
      </w:tr>
    </w:tbl>
    <w:p w:rsidR="005E0D39" w:rsidRDefault="005E0D39">
      <w:pPr>
        <w:spacing w:before="60" w:line="288" w:lineRule="auto"/>
      </w:pPr>
    </w:p>
    <w:p w:rsidR="005E0D39" w:rsidRDefault="00DF02D8">
      <w:pPr>
        <w:spacing w:line="288" w:lineRule="auto"/>
      </w:pPr>
      <w:r>
        <w:t>_______________________________________</w:t>
      </w:r>
    </w:p>
    <w:p w:rsidR="005E0D39" w:rsidRDefault="005E0D39">
      <w:pPr>
        <w:spacing w:line="288" w:lineRule="auto"/>
      </w:pPr>
    </w:p>
    <w:p w:rsidR="005E0D39" w:rsidRDefault="00DF02D8">
      <w:pPr>
        <w:numPr>
          <w:ilvl w:val="0"/>
          <w:numId w:val="3"/>
        </w:numPr>
        <w:spacing w:line="288" w:lineRule="auto"/>
        <w:ind w:left="720"/>
      </w:pPr>
      <w:r>
        <w:t xml:space="preserve">Amounts are net of tax of $(0.1) million and $(2.8) million for the three and nine months ended September 30, 2016, respectively, and $(0.2) million and $(2.6) million for the three and nine months ended September 30, 2015, respectively. </w:t>
      </w:r>
    </w:p>
    <w:p w:rsidR="005E0D39" w:rsidRDefault="005E0D39">
      <w:pPr>
        <w:spacing w:line="288" w:lineRule="auto"/>
      </w:pPr>
    </w:p>
    <w:p w:rsidR="005E0D39" w:rsidRDefault="005E0D39">
      <w:pPr>
        <w:sectPr w:rsidR="005E0D39">
          <w:headerReference w:type="default" r:id="rId13"/>
          <w:footerReference w:type="default" r:id="rId14"/>
          <w:pgSz w:w="12240" w:h="15840"/>
          <w:pgMar w:top="720" w:right="720" w:bottom="720" w:left="720" w:header="160" w:footer="320" w:gutter="0"/>
          <w:pgNumType w:chapSep="period"/>
          <w:cols w:space="720"/>
        </w:sectPr>
      </w:pPr>
    </w:p>
    <w:p w:rsidR="005E0D39" w:rsidRDefault="00DF02D8">
      <w:pPr>
        <w:spacing w:line="288" w:lineRule="auto"/>
        <w:jc w:val="center"/>
        <w:rPr>
          <w:b/>
        </w:rPr>
      </w:pPr>
      <w:r>
        <w:rPr>
          <w:b/>
        </w:rPr>
        <w:lastRenderedPageBreak/>
        <w:t>AMERICAN AXLE &amp; MANUFACTURING HOLDINGS, INC.</w:t>
      </w:r>
      <w:bookmarkStart w:id="3" w:name="Balance_Sheet"/>
      <w:bookmarkEnd w:id="3"/>
    </w:p>
    <w:p w:rsidR="005E0D39" w:rsidRDefault="00DF02D8">
      <w:pPr>
        <w:spacing w:line="288" w:lineRule="auto"/>
        <w:jc w:val="center"/>
        <w:rPr>
          <w:b/>
        </w:rPr>
      </w:pPr>
      <w:r>
        <w:rPr>
          <w:b/>
        </w:rPr>
        <w:t>CONDENSED CONSOLIDATED BALANCE SHEETS</w:t>
      </w:r>
    </w:p>
    <w:p w:rsidR="005E0D39" w:rsidRDefault="00DF02D8">
      <w:pPr>
        <w:spacing w:line="288" w:lineRule="auto"/>
        <w:jc w:val="center"/>
        <w:rPr>
          <w:i/>
        </w:rPr>
      </w:pPr>
      <w:r>
        <w:rPr>
          <w:i/>
        </w:rPr>
        <w:t>(Unaudited)</w:t>
      </w:r>
    </w:p>
    <w:p w:rsidR="005E0D39" w:rsidRDefault="005E0D39">
      <w:pPr>
        <w:spacing w:after="140"/>
        <w:jc w:val="center"/>
        <w:rPr>
          <w:i/>
        </w:rPr>
      </w:pPr>
    </w:p>
    <w:tbl>
      <w:tblPr>
        <w:tblW w:w="10240" w:type="dxa"/>
        <w:jc w:val="center"/>
        <w:tblLayout w:type="fixed"/>
        <w:tblCellMar>
          <w:left w:w="10" w:type="dxa"/>
          <w:right w:w="10" w:type="dxa"/>
        </w:tblCellMar>
        <w:tblLook w:val="04A0" w:firstRow="1" w:lastRow="0" w:firstColumn="1" w:lastColumn="0" w:noHBand="0" w:noVBand="1"/>
      </w:tblPr>
      <w:tblGrid>
        <w:gridCol w:w="6960"/>
        <w:gridCol w:w="110"/>
        <w:gridCol w:w="1413"/>
        <w:gridCol w:w="77"/>
        <w:gridCol w:w="80"/>
        <w:gridCol w:w="110"/>
        <w:gridCol w:w="1413"/>
        <w:gridCol w:w="77"/>
      </w:tblGrid>
      <w:tr w:rsidR="007070F7" w:rsidTr="007070F7">
        <w:trPr>
          <w:trHeight w:hRule="exact" w:val="48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r>
              <w:rPr>
                <w:b/>
                <w:color w:val="000000"/>
              </w:rPr>
              <w:br/>
              <w:t xml:space="preserve"> 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December 31, 2015</w:t>
            </w:r>
          </w:p>
        </w:tc>
      </w:tr>
      <w:tr w:rsidR="007070F7" w:rsidTr="007070F7">
        <w:trPr>
          <w:trHeight w:hRule="exact" w:val="24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sz w:val="18"/>
              </w:rPr>
            </w:pPr>
            <w:r>
              <w:rPr>
                <w:i/>
                <w:color w:val="000000"/>
                <w:sz w:val="18"/>
              </w:rPr>
              <w:t>(in millions)</w:t>
            </w:r>
          </w:p>
        </w:tc>
      </w:tr>
      <w:tr w:rsidR="007070F7" w:rsidTr="007070F7">
        <w:trPr>
          <w:trHeight w:hRule="exact" w:val="280"/>
          <w:jc w:val="center"/>
        </w:trPr>
        <w:tc>
          <w:tcPr>
            <w:tcW w:w="6960" w:type="dxa"/>
            <w:tcMar>
              <w:left w:w="60" w:type="dxa"/>
              <w:right w:w="60" w:type="dxa"/>
            </w:tcMar>
            <w:vAlign w:val="bottom"/>
          </w:tcPr>
          <w:p w:rsidR="005E0D39" w:rsidRDefault="00DF02D8">
            <w:pPr>
              <w:keepNext/>
              <w:keepLines/>
              <w:spacing w:before="40" w:after="40"/>
              <w:jc w:val="center"/>
              <w:rPr>
                <w:b/>
              </w:rPr>
            </w:pPr>
            <w:r>
              <w:rPr>
                <w:b/>
                <w:color w:val="000000"/>
                <w:u w:val="single" w:color="000000"/>
              </w:rPr>
              <w:t>ASSETS</w:t>
            </w: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Current assets</w:t>
            </w: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Cash and cash equivalents</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413" w:type="dxa"/>
            <w:tcMar>
              <w:left w:w="0" w:type="dxa"/>
              <w:right w:w="0" w:type="dxa"/>
            </w:tcMar>
            <w:vAlign w:val="bottom"/>
          </w:tcPr>
          <w:p w:rsidR="005E0D39" w:rsidRDefault="00DF02D8">
            <w:pPr>
              <w:keepNext/>
              <w:keepLines/>
              <w:spacing w:before="40" w:after="40"/>
              <w:jc w:val="right"/>
              <w:rPr>
                <w:b/>
              </w:rPr>
            </w:pPr>
            <w:r>
              <w:rPr>
                <w:b/>
                <w:color w:val="000000"/>
              </w:rPr>
              <w:t>433.9</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413" w:type="dxa"/>
            <w:tcMar>
              <w:left w:w="0" w:type="dxa"/>
              <w:right w:w="0" w:type="dxa"/>
            </w:tcMar>
            <w:vAlign w:val="bottom"/>
          </w:tcPr>
          <w:p w:rsidR="005E0D39" w:rsidRDefault="00DF02D8">
            <w:pPr>
              <w:keepNext/>
              <w:keepLines/>
              <w:spacing w:before="40" w:after="40"/>
              <w:jc w:val="right"/>
            </w:pPr>
            <w:r>
              <w:rPr>
                <w:color w:val="000000"/>
              </w:rPr>
              <w:t>282.5</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Accounts receivable, net</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683.7</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539.1</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Inventories, net</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219.4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230.5</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Prepaid expenses and other</w:t>
            </w: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82.9</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72.1</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Total current assets</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1,419.9</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1,124.2</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Property, plant and equipment, net</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1,080.4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1,046.2</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Deferred income taxes</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344.4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373.6</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Goodwill</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154.4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154.4</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GM postretirement cost sharing asset</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237.4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243.2</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Other assets and deferred charges</w:t>
            </w: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278.5</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261.1</w:t>
            </w:r>
          </w:p>
        </w:tc>
        <w:tc>
          <w:tcPr>
            <w:tcW w:w="77" w:type="dxa"/>
            <w:tcBorders>
              <w:bottom w:val="single" w:sz="8" w:space="0" w:color="auto"/>
            </w:tcBorders>
            <w:tcMar>
              <w:left w:w="0" w:type="dxa"/>
              <w:right w:w="0" w:type="dxa"/>
            </w:tcMar>
          </w:tcPr>
          <w:p w:rsidR="005E0D39" w:rsidRDefault="005E0D39"/>
        </w:tc>
      </w:tr>
      <w:tr w:rsidR="005E0D39">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Total assets</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41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3,515.0</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4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3,202.7</w:t>
            </w:r>
          </w:p>
        </w:tc>
        <w:tc>
          <w:tcPr>
            <w:tcW w:w="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280"/>
          <w:jc w:val="center"/>
        </w:trPr>
        <w:tc>
          <w:tcPr>
            <w:tcW w:w="6960" w:type="dxa"/>
            <w:tcMar>
              <w:left w:w="60" w:type="dxa"/>
              <w:right w:w="60" w:type="dxa"/>
            </w:tcMar>
            <w:vAlign w:val="bottom"/>
          </w:tcPr>
          <w:p w:rsidR="005E0D39" w:rsidRDefault="00DF02D8">
            <w:pPr>
              <w:keepNext/>
              <w:keepLines/>
              <w:spacing w:before="40" w:after="40"/>
              <w:jc w:val="center"/>
              <w:rPr>
                <w:b/>
              </w:rPr>
            </w:pPr>
            <w:r>
              <w:rPr>
                <w:b/>
                <w:color w:val="000000"/>
                <w:u w:val="single" w:color="000000"/>
              </w:rPr>
              <w:t>LIABILITIES AND STOCKHOLDERS' EQUITY</w:t>
            </w: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Current liabilities</w:t>
            </w: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5E0D39">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Current portion of long-term debt</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413" w:type="dxa"/>
            <w:tcMar>
              <w:left w:w="0" w:type="dxa"/>
              <w:right w:w="0" w:type="dxa"/>
            </w:tcMar>
            <w:vAlign w:val="bottom"/>
          </w:tcPr>
          <w:p w:rsidR="005E0D39" w:rsidRDefault="00DF02D8">
            <w:pPr>
              <w:keepNext/>
              <w:keepLines/>
              <w:spacing w:before="40" w:after="40"/>
              <w:jc w:val="right"/>
              <w:rPr>
                <w:b/>
              </w:rPr>
            </w:pPr>
            <w:r>
              <w:rPr>
                <w:b/>
                <w:color w:val="000000"/>
              </w:rPr>
              <w:t>3.4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413" w:type="dxa"/>
            <w:tcMar>
              <w:left w:w="0" w:type="dxa"/>
              <w:right w:w="0" w:type="dxa"/>
            </w:tcMar>
            <w:vAlign w:val="bottom"/>
          </w:tcPr>
          <w:p w:rsidR="005E0D39" w:rsidRDefault="00DF02D8">
            <w:pPr>
              <w:keepNext/>
              <w:keepLines/>
              <w:spacing w:before="40" w:after="40"/>
              <w:jc w:val="right"/>
            </w:pPr>
            <w:r>
              <w:rPr>
                <w:color w:val="000000"/>
              </w:rPr>
              <w:t>3.3</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Accounts payable</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497.7</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412.7</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Accrued compensation and benefits</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129.8</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128.0</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Deferred revenue</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24.5</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22.9</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Accrued expenses and other</w:t>
            </w: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110.8</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132.3</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Total current liabilities</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766.2</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699.2</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Long-term debt, net</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1,401.0</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1,375.7</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Deferred revenue</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55.4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65.7</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pPr>
            <w:r>
              <w:rPr>
                <w:color w:val="000000"/>
              </w:rPr>
              <w:t>Postretirement benefits and other long-term liabilities</w:t>
            </w: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772.4</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760.6</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6960" w:type="dxa"/>
            <w:tcMar>
              <w:left w:w="60" w:type="dxa"/>
              <w:right w:w="40" w:type="dxa"/>
            </w:tcMar>
            <w:vAlign w:val="bottom"/>
          </w:tcPr>
          <w:p w:rsidR="005E0D39" w:rsidRDefault="00DF02D8">
            <w:pPr>
              <w:keepNext/>
              <w:keepLines/>
              <w:spacing w:before="40" w:after="40"/>
              <w:rPr>
                <w:b/>
              </w:rPr>
            </w:pPr>
            <w:r>
              <w:rPr>
                <w:b/>
                <w:color w:val="000000"/>
              </w:rPr>
              <w:t>Total liabilities</w:t>
            </w:r>
          </w:p>
        </w:tc>
        <w:tc>
          <w:tcPr>
            <w:tcW w:w="1523" w:type="dxa"/>
            <w:gridSpan w:val="2"/>
            <w:tcMar>
              <w:left w:w="0" w:type="dxa"/>
              <w:right w:w="0" w:type="dxa"/>
            </w:tcMar>
            <w:vAlign w:val="bottom"/>
          </w:tcPr>
          <w:p w:rsidR="005E0D39" w:rsidRDefault="00DF02D8">
            <w:pPr>
              <w:keepNext/>
              <w:keepLines/>
              <w:spacing w:before="40" w:after="40"/>
              <w:jc w:val="right"/>
              <w:rPr>
                <w:b/>
              </w:rPr>
            </w:pPr>
            <w:r>
              <w:rPr>
                <w:b/>
                <w:color w:val="000000"/>
              </w:rPr>
              <w:t>2,995.0</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Mar>
              <w:left w:w="0" w:type="dxa"/>
              <w:right w:w="0" w:type="dxa"/>
            </w:tcMar>
            <w:vAlign w:val="bottom"/>
          </w:tcPr>
          <w:p w:rsidR="005E0D39" w:rsidRDefault="00DF02D8">
            <w:pPr>
              <w:keepNext/>
              <w:keepLines/>
              <w:spacing w:before="40" w:after="40"/>
              <w:jc w:val="right"/>
            </w:pPr>
            <w:r>
              <w:rPr>
                <w:color w:val="000000"/>
              </w:rPr>
              <w:t>2,901.2</w:t>
            </w:r>
          </w:p>
        </w:tc>
        <w:tc>
          <w:tcPr>
            <w:tcW w:w="77" w:type="dxa"/>
            <w:tcMar>
              <w:left w:w="0" w:type="dxa"/>
              <w:right w:w="0" w:type="dxa"/>
            </w:tcMar>
          </w:tcPr>
          <w:p w:rsidR="005E0D39" w:rsidRDefault="005E0D39"/>
        </w:tc>
      </w:tr>
      <w:tr w:rsidR="007070F7" w:rsidTr="007070F7">
        <w:trPr>
          <w:trHeight w:hRule="exact" w:val="280"/>
          <w:jc w:val="center"/>
        </w:trPr>
        <w:tc>
          <w:tcPr>
            <w:tcW w:w="696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6960" w:type="dxa"/>
            <w:tcMar>
              <w:left w:w="60" w:type="dxa"/>
              <w:right w:w="40" w:type="dxa"/>
            </w:tcMar>
            <w:vAlign w:val="bottom"/>
          </w:tcPr>
          <w:p w:rsidR="005E0D39" w:rsidRDefault="00DF02D8">
            <w:pPr>
              <w:keepNext/>
              <w:keepLines/>
              <w:spacing w:before="40" w:after="40"/>
            </w:pPr>
            <w:r>
              <w:rPr>
                <w:color w:val="000000"/>
              </w:rPr>
              <w:t>Total stockholders’ equity</w:t>
            </w: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520.0</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301.5</w:t>
            </w:r>
          </w:p>
        </w:tc>
        <w:tc>
          <w:tcPr>
            <w:tcW w:w="77" w:type="dxa"/>
            <w:tcBorders>
              <w:bottom w:val="single" w:sz="8" w:space="0" w:color="auto"/>
            </w:tcBorders>
            <w:tcMar>
              <w:left w:w="0" w:type="dxa"/>
              <w:right w:w="0" w:type="dxa"/>
            </w:tcMar>
          </w:tcPr>
          <w:p w:rsidR="005E0D39" w:rsidRDefault="005E0D39"/>
        </w:tc>
      </w:tr>
      <w:tr w:rsidR="005E0D39">
        <w:trPr>
          <w:trHeight w:hRule="exact" w:val="280"/>
          <w:jc w:val="center"/>
        </w:trPr>
        <w:tc>
          <w:tcPr>
            <w:tcW w:w="6960" w:type="dxa"/>
            <w:tcMar>
              <w:left w:w="60" w:type="dxa"/>
              <w:right w:w="40" w:type="dxa"/>
            </w:tcMar>
            <w:vAlign w:val="bottom"/>
          </w:tcPr>
          <w:p w:rsidR="005E0D39" w:rsidRDefault="00DF02D8">
            <w:pPr>
              <w:keepLines/>
              <w:spacing w:before="40" w:after="40"/>
              <w:rPr>
                <w:b/>
              </w:rPr>
            </w:pPr>
            <w:r>
              <w:rPr>
                <w:b/>
                <w:color w:val="000000"/>
              </w:rPr>
              <w:t>Total liabilities and stockholders' equity</w:t>
            </w: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41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3,515.0</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pPr>
            <w:r>
              <w:rPr>
                <w:color w:val="000000"/>
              </w:rPr>
              <w:t>$</w:t>
            </w:r>
          </w:p>
        </w:tc>
        <w:tc>
          <w:tcPr>
            <w:tcW w:w="1413"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3,202.7</w:t>
            </w:r>
          </w:p>
        </w:tc>
        <w:tc>
          <w:tcPr>
            <w:tcW w:w="77" w:type="dxa"/>
            <w:tcBorders>
              <w:bottom w:val="double" w:sz="4" w:space="0" w:color="auto"/>
            </w:tcBorders>
            <w:tcMar>
              <w:left w:w="0" w:type="dxa"/>
              <w:right w:w="0" w:type="dxa"/>
            </w:tcMar>
          </w:tcPr>
          <w:p w:rsidR="005E0D39" w:rsidRDefault="005E0D39"/>
        </w:tc>
      </w:tr>
    </w:tbl>
    <w:p w:rsidR="005E0D39" w:rsidRDefault="005E0D39">
      <w:pPr>
        <w:spacing w:before="60" w:line="288" w:lineRule="auto"/>
      </w:pPr>
    </w:p>
    <w:p w:rsidR="005E0D39" w:rsidRDefault="005E0D39">
      <w:pPr>
        <w:sectPr w:rsidR="005E0D39">
          <w:headerReference w:type="default" r:id="rId15"/>
          <w:footerReference w:type="default" r:id="rId16"/>
          <w:pgSz w:w="12240" w:h="15840"/>
          <w:pgMar w:top="720" w:right="720" w:bottom="720" w:left="720" w:header="160" w:footer="320" w:gutter="0"/>
          <w:pgNumType w:chapSep="period"/>
          <w:cols w:space="720"/>
        </w:sectPr>
      </w:pPr>
    </w:p>
    <w:p w:rsidR="005E0D39" w:rsidRDefault="00DF02D8">
      <w:pPr>
        <w:spacing w:line="288" w:lineRule="auto"/>
        <w:jc w:val="center"/>
        <w:rPr>
          <w:b/>
        </w:rPr>
      </w:pPr>
      <w:r>
        <w:rPr>
          <w:b/>
        </w:rPr>
        <w:lastRenderedPageBreak/>
        <w:t>AMERICAN AXLE &amp; MANUFACTURING HOLDINGS, INC.</w:t>
      </w:r>
      <w:bookmarkStart w:id="4" w:name="Statement_of_Cash_Flows"/>
      <w:bookmarkEnd w:id="4"/>
    </w:p>
    <w:p w:rsidR="005E0D39" w:rsidRDefault="00DF02D8">
      <w:pPr>
        <w:spacing w:line="288" w:lineRule="auto"/>
        <w:jc w:val="center"/>
        <w:rPr>
          <w:b/>
        </w:rPr>
      </w:pPr>
      <w:r>
        <w:rPr>
          <w:b/>
        </w:rPr>
        <w:t>CONDENSED CONSOLIDATED STATEMENTS OF CASH FLOWS</w:t>
      </w:r>
    </w:p>
    <w:p w:rsidR="005E0D39" w:rsidRDefault="00DF02D8">
      <w:pPr>
        <w:spacing w:line="288" w:lineRule="auto"/>
        <w:jc w:val="center"/>
        <w:rPr>
          <w:i/>
        </w:rPr>
      </w:pPr>
      <w:r>
        <w:rPr>
          <w:i/>
        </w:rPr>
        <w:t>(Unaudited)</w:t>
      </w:r>
    </w:p>
    <w:p w:rsidR="005E0D39" w:rsidRDefault="005E0D39">
      <w:pPr>
        <w:spacing w:after="140"/>
      </w:pPr>
    </w:p>
    <w:tbl>
      <w:tblPr>
        <w:tblW w:w="10000" w:type="dxa"/>
        <w:jc w:val="center"/>
        <w:tblLayout w:type="fixed"/>
        <w:tblCellMar>
          <w:left w:w="10" w:type="dxa"/>
          <w:right w:w="10" w:type="dxa"/>
        </w:tblCellMar>
        <w:tblLook w:val="04A0" w:firstRow="1" w:lastRow="0" w:firstColumn="1" w:lastColumn="0" w:noHBand="0" w:noVBand="1"/>
      </w:tblPr>
      <w:tblGrid>
        <w:gridCol w:w="5820"/>
        <w:gridCol w:w="80"/>
        <w:gridCol w:w="110"/>
        <w:gridCol w:w="753"/>
        <w:gridCol w:w="77"/>
        <w:gridCol w:w="80"/>
        <w:gridCol w:w="110"/>
        <w:gridCol w:w="753"/>
        <w:gridCol w:w="77"/>
        <w:gridCol w:w="140"/>
        <w:gridCol w:w="110"/>
        <w:gridCol w:w="753"/>
        <w:gridCol w:w="77"/>
        <w:gridCol w:w="80"/>
        <w:gridCol w:w="110"/>
        <w:gridCol w:w="793"/>
        <w:gridCol w:w="77"/>
      </w:tblGrid>
      <w:tr w:rsidR="007070F7" w:rsidTr="007070F7">
        <w:trPr>
          <w:trHeight w:hRule="exact" w:val="30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Three Months Ended</w:t>
            </w:r>
          </w:p>
        </w:tc>
        <w:tc>
          <w:tcPr>
            <w:tcW w:w="140" w:type="dxa"/>
            <w:tcMar>
              <w:left w:w="60" w:type="dxa"/>
              <w:right w:w="6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Nine Months Ended</w:t>
            </w:r>
          </w:p>
        </w:tc>
      </w:tr>
      <w:tr w:rsidR="007070F7" w:rsidTr="007070F7">
        <w:trPr>
          <w:trHeight w:hRule="exact" w:val="30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c>
          <w:tcPr>
            <w:tcW w:w="140" w:type="dxa"/>
            <w:tcMar>
              <w:left w:w="60" w:type="dxa"/>
              <w:right w:w="6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r>
      <w:tr w:rsidR="007070F7" w:rsidTr="007070F7">
        <w:trPr>
          <w:trHeight w:hRule="exact" w:val="30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c>
          <w:tcPr>
            <w:tcW w:w="140" w:type="dxa"/>
            <w:tcMar>
              <w:left w:w="60" w:type="dxa"/>
              <w:right w:w="6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r>
      <w:tr w:rsidR="007070F7" w:rsidTr="007070F7">
        <w:trPr>
          <w:trHeight w:hRule="exact" w:val="30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c>
          <w:tcPr>
            <w:tcW w:w="140" w:type="dxa"/>
            <w:tcMar>
              <w:left w:w="60" w:type="dxa"/>
              <w:right w:w="6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r>
      <w:tr w:rsidR="007070F7" w:rsidTr="007070F7">
        <w:trPr>
          <w:trHeight w:hRule="exact" w:val="28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Operating Activities</w:t>
            </w: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Net income</w:t>
            </w:r>
          </w:p>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753" w:type="dxa"/>
            <w:tcMar>
              <w:left w:w="0" w:type="dxa"/>
              <w:right w:w="0" w:type="dxa"/>
            </w:tcMar>
            <w:vAlign w:val="bottom"/>
          </w:tcPr>
          <w:p w:rsidR="005E0D39" w:rsidRDefault="00DF02D8">
            <w:pPr>
              <w:keepNext/>
              <w:keepLines/>
              <w:spacing w:before="40" w:after="40"/>
              <w:jc w:val="right"/>
              <w:rPr>
                <w:b/>
              </w:rPr>
            </w:pPr>
            <w:r>
              <w:rPr>
                <w:b/>
                <w:color w:val="000000"/>
              </w:rPr>
              <w:t>61.7</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753" w:type="dxa"/>
            <w:tcMar>
              <w:left w:w="0" w:type="dxa"/>
              <w:right w:w="0" w:type="dxa"/>
            </w:tcMar>
            <w:vAlign w:val="bottom"/>
          </w:tcPr>
          <w:p w:rsidR="005E0D39" w:rsidRDefault="00DF02D8">
            <w:pPr>
              <w:keepNext/>
              <w:keepLines/>
              <w:spacing w:before="40" w:after="40"/>
              <w:jc w:val="right"/>
            </w:pPr>
            <w:r>
              <w:rPr>
                <w:color w:val="000000"/>
              </w:rPr>
              <w:t>60.9</w:t>
            </w:r>
          </w:p>
        </w:tc>
        <w:tc>
          <w:tcPr>
            <w:tcW w:w="77" w:type="dxa"/>
            <w:tcMar>
              <w:left w:w="0" w:type="dxa"/>
              <w:right w:w="0" w:type="dxa"/>
            </w:tcMar>
          </w:tcPr>
          <w:p w:rsidR="005E0D39" w:rsidRDefault="005E0D39"/>
        </w:tc>
        <w:tc>
          <w:tcPr>
            <w:tcW w:w="14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753" w:type="dxa"/>
            <w:tcMar>
              <w:left w:w="0" w:type="dxa"/>
              <w:right w:w="0" w:type="dxa"/>
            </w:tcMar>
            <w:vAlign w:val="bottom"/>
          </w:tcPr>
          <w:p w:rsidR="005E0D39" w:rsidRDefault="00DF02D8">
            <w:pPr>
              <w:keepNext/>
              <w:keepLines/>
              <w:spacing w:before="40" w:after="40"/>
              <w:jc w:val="right"/>
              <w:rPr>
                <w:b/>
              </w:rPr>
            </w:pPr>
            <w:r>
              <w:rPr>
                <w:b/>
                <w:color w:val="000000"/>
              </w:rPr>
              <w:t>193.8</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793" w:type="dxa"/>
            <w:tcMar>
              <w:left w:w="0" w:type="dxa"/>
              <w:right w:w="0" w:type="dxa"/>
            </w:tcMar>
            <w:vAlign w:val="bottom"/>
          </w:tcPr>
          <w:p w:rsidR="005E0D39" w:rsidRDefault="00DF02D8">
            <w:pPr>
              <w:keepNext/>
              <w:keepLines/>
              <w:spacing w:before="40" w:after="40"/>
              <w:jc w:val="right"/>
            </w:pPr>
            <w:r>
              <w:rPr>
                <w:color w:val="000000"/>
              </w:rPr>
              <w:t>172.7</w:t>
            </w:r>
          </w:p>
        </w:tc>
        <w:tc>
          <w:tcPr>
            <w:tcW w:w="77" w:type="dxa"/>
            <w:tcMar>
              <w:left w:w="0" w:type="dxa"/>
              <w:right w:w="0" w:type="dxa"/>
            </w:tcMar>
          </w:tcPr>
          <w:p w:rsidR="005E0D39" w:rsidRDefault="005E0D39"/>
        </w:tc>
      </w:tr>
      <w:tr w:rsidR="007070F7" w:rsidTr="007070F7">
        <w:trPr>
          <w:trHeight w:hRule="exact" w:val="500"/>
          <w:jc w:val="center"/>
        </w:trPr>
        <w:tc>
          <w:tcPr>
            <w:tcW w:w="5820" w:type="dxa"/>
            <w:tcMar>
              <w:left w:w="60" w:type="dxa"/>
              <w:right w:w="40" w:type="dxa"/>
            </w:tcMar>
            <w:vAlign w:val="bottom"/>
          </w:tcPr>
          <w:p w:rsidR="005E0D39" w:rsidRDefault="00DF02D8">
            <w:pPr>
              <w:keepNext/>
              <w:keepLines/>
              <w:spacing w:before="40" w:after="40"/>
            </w:pPr>
            <w:r>
              <w:rPr>
                <w:color w:val="000000"/>
              </w:rPr>
              <w:t>Adjustments to reconcile net income to net cash provided by operating activities</w:t>
            </w: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4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180" w:type="dxa"/>
              <w:right w:w="40" w:type="dxa"/>
            </w:tcMar>
            <w:vAlign w:val="bottom"/>
          </w:tcPr>
          <w:p w:rsidR="005E0D39" w:rsidRDefault="00DF02D8">
            <w:pPr>
              <w:keepNext/>
              <w:keepLines/>
              <w:spacing w:before="40" w:after="40"/>
            </w:pPr>
            <w:r>
              <w:rPr>
                <w:color w:val="000000"/>
              </w:rPr>
              <w:t xml:space="preserve">   Depreciation and amortization</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49.9</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49.1</w:t>
            </w:r>
          </w:p>
        </w:tc>
        <w:tc>
          <w:tcPr>
            <w:tcW w:w="77" w:type="dxa"/>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150.4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149.7</w:t>
            </w:r>
          </w:p>
        </w:tc>
        <w:tc>
          <w:tcPr>
            <w:tcW w:w="77" w:type="dxa"/>
            <w:tcMar>
              <w:left w:w="0" w:type="dxa"/>
              <w:right w:w="0" w:type="dxa"/>
            </w:tcMar>
          </w:tcPr>
          <w:p w:rsidR="005E0D39" w:rsidRDefault="005E0D39"/>
        </w:tc>
      </w:tr>
      <w:tr w:rsidR="007070F7" w:rsidTr="007070F7">
        <w:trPr>
          <w:trHeight w:hRule="exact" w:val="300"/>
          <w:jc w:val="center"/>
        </w:trPr>
        <w:tc>
          <w:tcPr>
            <w:tcW w:w="5820" w:type="dxa"/>
            <w:tcMar>
              <w:left w:w="180" w:type="dxa"/>
              <w:right w:w="40" w:type="dxa"/>
            </w:tcMar>
            <w:vAlign w:val="bottom"/>
          </w:tcPr>
          <w:p w:rsidR="005E0D39" w:rsidRDefault="00DF02D8">
            <w:pPr>
              <w:keepNext/>
              <w:keepLines/>
              <w:spacing w:before="40" w:after="40"/>
            </w:pPr>
            <w:r>
              <w:rPr>
                <w:color w:val="000000"/>
              </w:rPr>
              <w:t xml:space="preserve">   Other</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(4.1</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3.8</w:t>
            </w:r>
          </w:p>
        </w:tc>
        <w:tc>
          <w:tcPr>
            <w:tcW w:w="77" w:type="dxa"/>
            <w:tcBorders>
              <w:bottom w:val="single" w:sz="8" w:space="0" w:color="auto"/>
            </w:tcBorders>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(53.2</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(54.3</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Net cash provided by operating activities</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107.5</w:t>
            </w:r>
          </w:p>
        </w:tc>
        <w:tc>
          <w:tcPr>
            <w:tcW w:w="77" w:type="dxa"/>
            <w:tcBorders>
              <w:top w:val="single" w:sz="8" w:space="0" w:color="auto"/>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113.8</w:t>
            </w:r>
          </w:p>
        </w:tc>
        <w:tc>
          <w:tcPr>
            <w:tcW w:w="77" w:type="dxa"/>
            <w:tcBorders>
              <w:top w:val="single" w:sz="8" w:space="0" w:color="auto"/>
              <w:bottom w:val="single" w:sz="8" w:space="0" w:color="auto"/>
            </w:tcBorders>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291.0</w:t>
            </w:r>
          </w:p>
        </w:tc>
        <w:tc>
          <w:tcPr>
            <w:tcW w:w="77" w:type="dxa"/>
            <w:tcBorders>
              <w:top w:val="single" w:sz="8" w:space="0" w:color="auto"/>
              <w:bottom w:val="single" w:sz="8"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90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268.1</w:t>
            </w:r>
          </w:p>
        </w:tc>
        <w:tc>
          <w:tcPr>
            <w:tcW w:w="77" w:type="dxa"/>
            <w:tcBorders>
              <w:top w:val="single" w:sz="8" w:space="0" w:color="auto"/>
              <w:bottom w:val="single" w:sz="8" w:space="0" w:color="auto"/>
            </w:tcBorders>
            <w:tcMar>
              <w:left w:w="0" w:type="dxa"/>
              <w:right w:w="0" w:type="dxa"/>
            </w:tcMar>
          </w:tcPr>
          <w:p w:rsidR="005E0D39" w:rsidRDefault="005E0D39"/>
        </w:tc>
      </w:tr>
      <w:tr w:rsidR="007070F7" w:rsidTr="007070F7">
        <w:trPr>
          <w:trHeight w:hRule="exact" w:val="32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4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28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Investing Activities</w:t>
            </w: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Purchases of property, plant and equipment</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(53.0</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(40.7</w:t>
            </w:r>
          </w:p>
        </w:tc>
        <w:tc>
          <w:tcPr>
            <w:tcW w:w="77" w:type="dxa"/>
            <w:tcMar>
              <w:left w:w="0" w:type="dxa"/>
              <w:right w:w="0" w:type="dxa"/>
            </w:tcMar>
            <w:vAlign w:val="bottom"/>
          </w:tcPr>
          <w:p w:rsidR="005E0D39" w:rsidRDefault="00DF02D8">
            <w:pPr>
              <w:keepNext/>
              <w:keepLines/>
              <w:spacing w:before="40" w:after="40"/>
            </w:pPr>
            <w:r>
              <w:rPr>
                <w:color w:val="000000"/>
              </w:rPr>
              <w:t>)</w:t>
            </w:r>
          </w:p>
        </w:tc>
        <w:tc>
          <w:tcPr>
            <w:tcW w:w="140" w:type="dxa"/>
            <w:tcMar>
              <w:left w:w="0" w:type="dxa"/>
              <w:right w:w="6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(158.7</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0" w:type="dxa"/>
              <w:right w:w="6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(132.1</w:t>
            </w:r>
          </w:p>
        </w:tc>
        <w:tc>
          <w:tcPr>
            <w:tcW w:w="77" w:type="dxa"/>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Proceeds from sale of property, plant and equipment</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0.1</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0.1</w:t>
            </w:r>
          </w:p>
        </w:tc>
        <w:tc>
          <w:tcPr>
            <w:tcW w:w="77" w:type="dxa"/>
            <w:tcMar>
              <w:left w:w="0" w:type="dxa"/>
              <w:right w:w="0" w:type="dxa"/>
            </w:tcMar>
          </w:tcPr>
          <w:p w:rsidR="005E0D39" w:rsidRDefault="005E0D39"/>
        </w:tc>
        <w:tc>
          <w:tcPr>
            <w:tcW w:w="140" w:type="dxa"/>
            <w:tcMar>
              <w:left w:w="0" w:type="dxa"/>
              <w:right w:w="6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0.7</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0.2</w:t>
            </w:r>
          </w:p>
        </w:tc>
        <w:tc>
          <w:tcPr>
            <w:tcW w:w="77" w:type="dxa"/>
            <w:tcMar>
              <w:left w:w="0" w:type="dxa"/>
              <w:right w:w="0" w:type="dxa"/>
            </w:tcMar>
          </w:tcPr>
          <w:p w:rsidR="005E0D39" w:rsidRDefault="005E0D39"/>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Proceeds from government grants</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w:t>
            </w:r>
          </w:p>
        </w:tc>
        <w:tc>
          <w:tcPr>
            <w:tcW w:w="77" w:type="dxa"/>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2.8</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w:t>
            </w:r>
          </w:p>
        </w:tc>
        <w:tc>
          <w:tcPr>
            <w:tcW w:w="77" w:type="dxa"/>
            <w:tcMar>
              <w:left w:w="0" w:type="dxa"/>
              <w:right w:w="0" w:type="dxa"/>
            </w:tcMar>
          </w:tcPr>
          <w:p w:rsidR="005E0D39" w:rsidRDefault="005E0D39"/>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Other</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(5.6</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(4.6</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Net cash used in investing activities</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(58.5</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(40.6</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40" w:type="dxa"/>
            <w:tcMar>
              <w:left w:w="0" w:type="dxa"/>
              <w:right w:w="6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(159.8</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0" w:type="dxa"/>
              <w:right w:w="6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(131.9</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28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40" w:type="dxa"/>
            <w:tcMar>
              <w:left w:w="0" w:type="dxa"/>
              <w:right w:w="60" w:type="dxa"/>
            </w:tcMar>
            <w:vAlign w:val="bottom"/>
          </w:tcPr>
          <w:p w:rsidR="005E0D39" w:rsidRDefault="005E0D39">
            <w:pPr>
              <w:keepNext/>
              <w:keepLines/>
              <w:spacing w:before="40" w:after="40"/>
            </w:pPr>
          </w:p>
        </w:tc>
        <w:tc>
          <w:tcPr>
            <w:tcW w:w="0" w:type="dxa"/>
            <w:gridSpan w:val="3"/>
            <w:tcBorders>
              <w:top w:val="single" w:sz="8" w:space="0" w:color="auto"/>
            </w:tcBorders>
            <w:tcMar>
              <w:left w:w="0" w:type="dxa"/>
              <w:right w:w="60" w:type="dxa"/>
            </w:tcMar>
            <w:vAlign w:val="bottom"/>
          </w:tcPr>
          <w:p w:rsidR="005E0D39" w:rsidRDefault="005E0D39">
            <w:pPr>
              <w:keepNext/>
              <w:keepLines/>
              <w:spacing w:before="40" w:after="40"/>
            </w:pPr>
          </w:p>
        </w:tc>
        <w:tc>
          <w:tcPr>
            <w:tcW w:w="80" w:type="dxa"/>
            <w:tcMar>
              <w:left w:w="0" w:type="dxa"/>
              <w:right w:w="6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7070F7" w:rsidTr="007070F7">
        <w:trPr>
          <w:trHeight w:hRule="exact" w:val="28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Financing Activities</w:t>
            </w: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Net debt activity</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(3.2</w:t>
            </w:r>
          </w:p>
        </w:tc>
        <w:tc>
          <w:tcPr>
            <w:tcW w:w="77" w:type="dxa"/>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(1.3</w:t>
            </w:r>
          </w:p>
        </w:tc>
        <w:tc>
          <w:tcPr>
            <w:tcW w:w="77" w:type="dxa"/>
            <w:tcMar>
              <w:left w:w="0" w:type="dxa"/>
              <w:right w:w="0" w:type="dxa"/>
            </w:tcMar>
            <w:vAlign w:val="bottom"/>
          </w:tcPr>
          <w:p w:rsidR="005E0D39" w:rsidRDefault="00DF02D8">
            <w:pPr>
              <w:keepNext/>
              <w:keepLines/>
              <w:spacing w:before="40" w:after="40"/>
            </w:pPr>
            <w:r>
              <w:rPr>
                <w:color w:val="000000"/>
              </w:rPr>
              <w:t>)</w:t>
            </w:r>
          </w:p>
        </w:tc>
        <w:tc>
          <w:tcPr>
            <w:tcW w:w="14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22.6</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(5.7</w:t>
            </w:r>
          </w:p>
        </w:tc>
        <w:tc>
          <w:tcPr>
            <w:tcW w:w="77" w:type="dxa"/>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Employee stock option exercises</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0.2</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0.1</w:t>
            </w:r>
          </w:p>
        </w:tc>
        <w:tc>
          <w:tcPr>
            <w:tcW w:w="77" w:type="dxa"/>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0.3</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0.5</w:t>
            </w:r>
          </w:p>
        </w:tc>
        <w:tc>
          <w:tcPr>
            <w:tcW w:w="77" w:type="dxa"/>
            <w:tcMar>
              <w:left w:w="0" w:type="dxa"/>
              <w:right w:w="0" w:type="dxa"/>
            </w:tcMar>
          </w:tcPr>
          <w:p w:rsidR="005E0D39" w:rsidRDefault="005E0D39"/>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Purchase of treasury stock</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(0.3</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(0.2</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40" w:type="dxa"/>
            <w:tcMar>
              <w:left w:w="0" w:type="dxa"/>
              <w:right w:w="6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(5.3</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0" w:type="dxa"/>
              <w:right w:w="6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(2.9</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Net cash provided by (used in) financing activities</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(3.3</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(1.4</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40" w:type="dxa"/>
            <w:tcMar>
              <w:left w:w="0" w:type="dxa"/>
              <w:right w:w="60" w:type="dxa"/>
            </w:tcMar>
            <w:vAlign w:val="bottom"/>
          </w:tcPr>
          <w:p w:rsidR="005E0D39" w:rsidRDefault="005E0D39">
            <w:pPr>
              <w:keepNext/>
              <w:keepLines/>
              <w:spacing w:before="40" w:after="40"/>
            </w:pPr>
          </w:p>
        </w:tc>
        <w:tc>
          <w:tcPr>
            <w:tcW w:w="86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17.6</w:t>
            </w:r>
          </w:p>
        </w:tc>
        <w:tc>
          <w:tcPr>
            <w:tcW w:w="77" w:type="dxa"/>
            <w:tcBorders>
              <w:top w:val="single" w:sz="8" w:space="0" w:color="auto"/>
              <w:bottom w:val="single" w:sz="8"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903" w:type="dxa"/>
            <w:gridSpan w:val="2"/>
            <w:tcBorders>
              <w:top w:val="single" w:sz="8" w:space="0" w:color="auto"/>
              <w:bottom w:val="single" w:sz="8" w:space="0" w:color="auto"/>
            </w:tcBorders>
            <w:tcMar>
              <w:left w:w="0" w:type="dxa"/>
              <w:right w:w="0" w:type="dxa"/>
            </w:tcMar>
            <w:vAlign w:val="bottom"/>
          </w:tcPr>
          <w:p w:rsidR="005E0D39" w:rsidRDefault="00DF02D8">
            <w:pPr>
              <w:keepNext/>
              <w:keepLines/>
              <w:spacing w:before="40" w:after="40"/>
              <w:jc w:val="right"/>
            </w:pPr>
            <w:r>
              <w:rPr>
                <w:color w:val="000000"/>
              </w:rPr>
              <w:t>(8.1</w:t>
            </w:r>
          </w:p>
        </w:tc>
        <w:tc>
          <w:tcPr>
            <w:tcW w:w="77" w:type="dxa"/>
            <w:tcBorders>
              <w:top w:val="single" w:sz="8" w:space="0" w:color="auto"/>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28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Effect of exchange rate changes on cash</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(0.2</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(7.5</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4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2.6</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(11.7</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28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Borders>
              <w:top w:val="single" w:sz="8" w:space="0" w:color="auto"/>
            </w:tcBorders>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rPr>
                <w:b/>
              </w:rPr>
            </w:pPr>
            <w:r>
              <w:rPr>
                <w:b/>
                <w:color w:val="000000"/>
              </w:rPr>
              <w:t>Net increase in cash and cash equivalents</w:t>
            </w:r>
          </w:p>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45.5</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pPr>
            <w:r>
              <w:rPr>
                <w:color w:val="000000"/>
              </w:rPr>
              <w:t>64.3</w:t>
            </w:r>
          </w:p>
        </w:tc>
        <w:tc>
          <w:tcPr>
            <w:tcW w:w="77" w:type="dxa"/>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Mar>
              <w:left w:w="0" w:type="dxa"/>
              <w:right w:w="0" w:type="dxa"/>
            </w:tcMar>
            <w:vAlign w:val="bottom"/>
          </w:tcPr>
          <w:p w:rsidR="005E0D39" w:rsidRDefault="00DF02D8">
            <w:pPr>
              <w:keepNext/>
              <w:keepLines/>
              <w:spacing w:before="40" w:after="40"/>
              <w:jc w:val="right"/>
              <w:rPr>
                <w:b/>
              </w:rPr>
            </w:pPr>
            <w:r>
              <w:rPr>
                <w:b/>
                <w:color w:val="000000"/>
              </w:rPr>
              <w:t>151.4</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Mar>
              <w:left w:w="0" w:type="dxa"/>
              <w:right w:w="0" w:type="dxa"/>
            </w:tcMar>
            <w:vAlign w:val="bottom"/>
          </w:tcPr>
          <w:p w:rsidR="005E0D39" w:rsidRDefault="00DF02D8">
            <w:pPr>
              <w:keepNext/>
              <w:keepLines/>
              <w:spacing w:before="40" w:after="40"/>
              <w:jc w:val="right"/>
            </w:pPr>
            <w:r>
              <w:rPr>
                <w:color w:val="000000"/>
              </w:rPr>
              <w:t>116.4</w:t>
            </w:r>
          </w:p>
        </w:tc>
        <w:tc>
          <w:tcPr>
            <w:tcW w:w="77" w:type="dxa"/>
            <w:tcMar>
              <w:left w:w="0" w:type="dxa"/>
              <w:right w:w="0" w:type="dxa"/>
            </w:tcMar>
          </w:tcPr>
          <w:p w:rsidR="005E0D39" w:rsidRDefault="005E0D39"/>
        </w:tc>
      </w:tr>
      <w:tr w:rsidR="007070F7" w:rsidTr="007070F7">
        <w:trPr>
          <w:trHeight w:hRule="exact" w:val="28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5820" w:type="dxa"/>
            <w:tcMar>
              <w:left w:w="60" w:type="dxa"/>
              <w:right w:w="40" w:type="dxa"/>
            </w:tcMar>
            <w:vAlign w:val="bottom"/>
          </w:tcPr>
          <w:p w:rsidR="005E0D39" w:rsidRDefault="00DF02D8">
            <w:pPr>
              <w:keepNext/>
              <w:keepLines/>
              <w:spacing w:before="40" w:after="40"/>
            </w:pPr>
            <w:r>
              <w:rPr>
                <w:color w:val="000000"/>
              </w:rPr>
              <w:t>Cash and cash equivalents at beginning of period</w:t>
            </w:r>
          </w:p>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388.4</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301.3</w:t>
            </w:r>
          </w:p>
        </w:tc>
        <w:tc>
          <w:tcPr>
            <w:tcW w:w="77" w:type="dxa"/>
            <w:tcBorders>
              <w:bottom w:val="single" w:sz="8" w:space="0" w:color="auto"/>
            </w:tcBorders>
            <w:tcMar>
              <w:left w:w="0" w:type="dxa"/>
              <w:right w:w="0" w:type="dxa"/>
            </w:tcMar>
          </w:tcPr>
          <w:p w:rsidR="005E0D39" w:rsidRDefault="005E0D39"/>
        </w:tc>
        <w:tc>
          <w:tcPr>
            <w:tcW w:w="140" w:type="dxa"/>
            <w:tcMar>
              <w:left w:w="60" w:type="dxa"/>
              <w:right w:w="0" w:type="dxa"/>
            </w:tcMar>
            <w:vAlign w:val="bottom"/>
          </w:tcPr>
          <w:p w:rsidR="005E0D39" w:rsidRDefault="005E0D39">
            <w:pPr>
              <w:keepNext/>
              <w:keepLines/>
              <w:spacing w:before="40" w:after="40"/>
            </w:pPr>
          </w:p>
        </w:tc>
        <w:tc>
          <w:tcPr>
            <w:tcW w:w="8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282.5</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9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249.2</w:t>
            </w:r>
          </w:p>
        </w:tc>
        <w:tc>
          <w:tcPr>
            <w:tcW w:w="77" w:type="dxa"/>
            <w:tcBorders>
              <w:bottom w:val="single" w:sz="8" w:space="0" w:color="auto"/>
            </w:tcBorders>
            <w:tcMar>
              <w:left w:w="0" w:type="dxa"/>
              <w:right w:w="0" w:type="dxa"/>
            </w:tcMar>
          </w:tcPr>
          <w:p w:rsidR="005E0D39" w:rsidRDefault="005E0D39"/>
        </w:tc>
      </w:tr>
      <w:tr w:rsidR="007070F7" w:rsidTr="007070F7">
        <w:trPr>
          <w:trHeight w:hRule="exact" w:val="280"/>
          <w:jc w:val="center"/>
        </w:trPr>
        <w:tc>
          <w:tcPr>
            <w:tcW w:w="5820" w:type="dxa"/>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Borders>
              <w:top w:val="single" w:sz="8" w:space="0" w:color="auto"/>
            </w:tcBorders>
            <w:tcMar>
              <w:left w:w="60" w:type="dxa"/>
              <w:right w:w="0" w:type="dxa"/>
            </w:tcMar>
            <w:vAlign w:val="bottom"/>
          </w:tcPr>
          <w:p w:rsidR="005E0D39" w:rsidRDefault="005E0D39">
            <w:pPr>
              <w:keepNext/>
              <w:keepLines/>
              <w:spacing w:before="40" w:after="40"/>
            </w:pPr>
          </w:p>
        </w:tc>
        <w:tc>
          <w:tcPr>
            <w:tcW w:w="1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5820" w:type="dxa"/>
            <w:tcMar>
              <w:left w:w="60" w:type="dxa"/>
              <w:right w:w="40" w:type="dxa"/>
            </w:tcMar>
            <w:vAlign w:val="bottom"/>
          </w:tcPr>
          <w:p w:rsidR="005E0D39" w:rsidRDefault="00DF02D8">
            <w:pPr>
              <w:keepLines/>
              <w:spacing w:before="40" w:after="40"/>
              <w:rPr>
                <w:b/>
              </w:rPr>
            </w:pPr>
            <w:r>
              <w:rPr>
                <w:b/>
                <w:color w:val="000000"/>
              </w:rPr>
              <w:t>Cash and cash equivalents at end of period</w:t>
            </w:r>
          </w:p>
        </w:tc>
        <w:tc>
          <w:tcPr>
            <w:tcW w:w="8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75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433.9</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pPr>
            <w:r>
              <w:rPr>
                <w:color w:val="000000"/>
              </w:rPr>
              <w:t>$</w:t>
            </w:r>
          </w:p>
        </w:tc>
        <w:tc>
          <w:tcPr>
            <w:tcW w:w="753"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365.6</w:t>
            </w:r>
          </w:p>
        </w:tc>
        <w:tc>
          <w:tcPr>
            <w:tcW w:w="77" w:type="dxa"/>
            <w:tcBorders>
              <w:bottom w:val="double" w:sz="4" w:space="0" w:color="auto"/>
            </w:tcBorders>
            <w:tcMar>
              <w:left w:w="0" w:type="dxa"/>
              <w:right w:w="0" w:type="dxa"/>
            </w:tcMar>
          </w:tcPr>
          <w:p w:rsidR="005E0D39" w:rsidRDefault="005E0D39"/>
        </w:tc>
        <w:tc>
          <w:tcPr>
            <w:tcW w:w="14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75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433.9</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pPr>
            <w:r>
              <w:rPr>
                <w:color w:val="000000"/>
              </w:rPr>
              <w:t>$</w:t>
            </w:r>
          </w:p>
        </w:tc>
        <w:tc>
          <w:tcPr>
            <w:tcW w:w="793"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365.6</w:t>
            </w:r>
          </w:p>
        </w:tc>
        <w:tc>
          <w:tcPr>
            <w:tcW w:w="77" w:type="dxa"/>
            <w:tcBorders>
              <w:bottom w:val="double" w:sz="4" w:space="0" w:color="auto"/>
            </w:tcBorders>
            <w:tcMar>
              <w:left w:w="0" w:type="dxa"/>
              <w:right w:w="0" w:type="dxa"/>
            </w:tcMar>
          </w:tcPr>
          <w:p w:rsidR="005E0D39" w:rsidRDefault="005E0D39"/>
        </w:tc>
      </w:tr>
    </w:tbl>
    <w:p w:rsidR="005E0D39" w:rsidRDefault="005E0D39">
      <w:pPr>
        <w:spacing w:before="60" w:line="288" w:lineRule="auto"/>
        <w:jc w:val="center"/>
      </w:pPr>
    </w:p>
    <w:p w:rsidR="005E0D39" w:rsidRDefault="005E0D39">
      <w:pPr>
        <w:spacing w:line="288" w:lineRule="auto"/>
      </w:pPr>
    </w:p>
    <w:p w:rsidR="005E0D39" w:rsidRDefault="005E0D39">
      <w:pPr>
        <w:sectPr w:rsidR="005E0D39">
          <w:headerReference w:type="default" r:id="rId17"/>
          <w:footerReference w:type="default" r:id="rId18"/>
          <w:pgSz w:w="12240" w:h="15840"/>
          <w:pgMar w:top="720" w:right="720" w:bottom="720" w:left="720" w:header="160" w:footer="320" w:gutter="0"/>
          <w:pgNumType w:chapSep="period"/>
          <w:cols w:space="720"/>
        </w:sectPr>
      </w:pPr>
    </w:p>
    <w:p w:rsidR="005E0D39" w:rsidRDefault="00DF02D8">
      <w:pPr>
        <w:spacing w:line="288" w:lineRule="auto"/>
        <w:jc w:val="center"/>
        <w:rPr>
          <w:b/>
        </w:rPr>
      </w:pPr>
      <w:r>
        <w:rPr>
          <w:b/>
        </w:rPr>
        <w:lastRenderedPageBreak/>
        <w:t>AMERICAN AXLE &amp; MANUFACTURING HOLDINGS, INC.</w:t>
      </w:r>
      <w:bookmarkStart w:id="5" w:name="Supplemental_Data"/>
      <w:bookmarkEnd w:id="5"/>
    </w:p>
    <w:p w:rsidR="005E0D39" w:rsidRDefault="00DF02D8">
      <w:pPr>
        <w:spacing w:line="288" w:lineRule="auto"/>
        <w:jc w:val="center"/>
        <w:rPr>
          <w:b/>
        </w:rPr>
      </w:pPr>
      <w:r>
        <w:rPr>
          <w:b/>
        </w:rPr>
        <w:t>SUPPLEMENTAL DATA</w:t>
      </w:r>
    </w:p>
    <w:p w:rsidR="005E0D39" w:rsidRDefault="00DF02D8">
      <w:pPr>
        <w:spacing w:after="180" w:line="288" w:lineRule="auto"/>
        <w:jc w:val="center"/>
        <w:rPr>
          <w:i/>
        </w:rPr>
      </w:pPr>
      <w:r>
        <w:rPr>
          <w:i/>
        </w:rPr>
        <w:t>(Unaudited)</w:t>
      </w:r>
    </w:p>
    <w:p w:rsidR="005E0D39" w:rsidRDefault="00DF02D8">
      <w:pPr>
        <w:spacing w:line="288" w:lineRule="auto"/>
        <w:jc w:val="center"/>
      </w:pPr>
      <w:r>
        <w:t>The supplemental data presented below is a reconciliation of certain financial measures which is intended</w:t>
      </w:r>
    </w:p>
    <w:p w:rsidR="005E0D39" w:rsidRDefault="00DF02D8">
      <w:pPr>
        <w:spacing w:after="180" w:line="288" w:lineRule="auto"/>
        <w:jc w:val="center"/>
      </w:pPr>
      <w:proofErr w:type="gramStart"/>
      <w:r>
        <w:t>to</w:t>
      </w:r>
      <w:proofErr w:type="gramEnd"/>
      <w:r>
        <w:t xml:space="preserve"> facilitate analysis of American Axle &amp; Manufacturing Holdings, Inc. business and operating performance.</w:t>
      </w:r>
    </w:p>
    <w:p w:rsidR="005E0D39" w:rsidRDefault="00DF02D8">
      <w:pPr>
        <w:spacing w:after="320"/>
        <w:jc w:val="center"/>
        <w:rPr>
          <w:b/>
        </w:rPr>
      </w:pPr>
      <w:r>
        <w:rPr>
          <w:b/>
        </w:rPr>
        <w:t xml:space="preserve">Earnings before interest expense, income taxes and depreciation and amortization (EBITDA) and Adjusted </w:t>
      </w:r>
      <w:proofErr w:type="gramStart"/>
      <w:r>
        <w:rPr>
          <w:b/>
        </w:rPr>
        <w:t>EBITDA</w:t>
      </w:r>
      <w:r>
        <w:rPr>
          <w:b/>
          <w:sz w:val="16"/>
          <w:vertAlign w:val="superscript"/>
        </w:rPr>
        <w:t>(</w:t>
      </w:r>
      <w:proofErr w:type="gramEnd"/>
      <w:r>
        <w:rPr>
          <w:b/>
          <w:sz w:val="16"/>
          <w:vertAlign w:val="superscript"/>
        </w:rPr>
        <w:t>a)</w:t>
      </w:r>
    </w:p>
    <w:tbl>
      <w:tblPr>
        <w:tblW w:w="9540" w:type="dxa"/>
        <w:jc w:val="center"/>
        <w:tblLayout w:type="fixed"/>
        <w:tblCellMar>
          <w:left w:w="10" w:type="dxa"/>
          <w:right w:w="10" w:type="dxa"/>
        </w:tblCellMar>
        <w:tblLook w:val="04A0" w:firstRow="1" w:lastRow="0" w:firstColumn="1" w:lastColumn="0" w:noHBand="0" w:noVBand="1"/>
      </w:tblPr>
      <w:tblGrid>
        <w:gridCol w:w="3680"/>
        <w:gridCol w:w="110"/>
        <w:gridCol w:w="1253"/>
        <w:gridCol w:w="77"/>
        <w:gridCol w:w="80"/>
        <w:gridCol w:w="110"/>
        <w:gridCol w:w="1193"/>
        <w:gridCol w:w="77"/>
        <w:gridCol w:w="120"/>
        <w:gridCol w:w="110"/>
        <w:gridCol w:w="1173"/>
        <w:gridCol w:w="77"/>
        <w:gridCol w:w="80"/>
        <w:gridCol w:w="110"/>
        <w:gridCol w:w="1213"/>
        <w:gridCol w:w="77"/>
      </w:tblGrid>
      <w:tr w:rsidR="007070F7" w:rsidTr="007070F7">
        <w:trPr>
          <w:trHeight w:hRule="exact" w:val="300"/>
          <w:jc w:val="center"/>
        </w:trPr>
        <w:tc>
          <w:tcPr>
            <w:tcW w:w="368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Three Months Ended</w:t>
            </w:r>
          </w:p>
        </w:tc>
        <w:tc>
          <w:tcPr>
            <w:tcW w:w="120" w:type="dxa"/>
            <w:tcMar>
              <w:left w:w="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Nine Months Ended</w:t>
            </w:r>
          </w:p>
        </w:tc>
      </w:tr>
      <w:tr w:rsidR="007070F7" w:rsidTr="007070F7">
        <w:trPr>
          <w:trHeight w:hRule="exact" w:val="240"/>
          <w:jc w:val="center"/>
        </w:trPr>
        <w:tc>
          <w:tcPr>
            <w:tcW w:w="368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c>
          <w:tcPr>
            <w:tcW w:w="120" w:type="dxa"/>
            <w:tcMar>
              <w:left w:w="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r>
      <w:tr w:rsidR="007070F7" w:rsidTr="007070F7">
        <w:trPr>
          <w:trHeight w:hRule="exact" w:val="240"/>
          <w:jc w:val="center"/>
        </w:trPr>
        <w:tc>
          <w:tcPr>
            <w:tcW w:w="3680" w:type="dxa"/>
            <w:tcMar>
              <w:left w:w="60" w:type="dxa"/>
              <w:right w:w="6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c>
          <w:tcPr>
            <w:tcW w:w="12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r>
      <w:tr w:rsidR="007070F7" w:rsidTr="007070F7">
        <w:trPr>
          <w:trHeight w:hRule="exact" w:val="240"/>
          <w:jc w:val="center"/>
        </w:trPr>
        <w:tc>
          <w:tcPr>
            <w:tcW w:w="368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c>
          <w:tcPr>
            <w:tcW w:w="120" w:type="dxa"/>
            <w:tcMar>
              <w:left w:w="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r>
      <w:tr w:rsidR="007070F7" w:rsidTr="007070F7">
        <w:trPr>
          <w:trHeight w:hRule="exact" w:val="280"/>
          <w:jc w:val="center"/>
        </w:trPr>
        <w:tc>
          <w:tcPr>
            <w:tcW w:w="36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3680" w:type="dxa"/>
            <w:tcMar>
              <w:left w:w="60" w:type="dxa"/>
              <w:right w:w="40" w:type="dxa"/>
            </w:tcMar>
            <w:vAlign w:val="bottom"/>
          </w:tcPr>
          <w:p w:rsidR="005E0D39" w:rsidRDefault="00DF02D8">
            <w:pPr>
              <w:keepNext/>
              <w:keepLines/>
              <w:spacing w:before="40" w:after="40"/>
            </w:pPr>
            <w:r>
              <w:rPr>
                <w:color w:val="000000"/>
              </w:rPr>
              <w:t>Net income</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253" w:type="dxa"/>
            <w:tcMar>
              <w:left w:w="0" w:type="dxa"/>
              <w:right w:w="0" w:type="dxa"/>
            </w:tcMar>
            <w:vAlign w:val="bottom"/>
          </w:tcPr>
          <w:p w:rsidR="005E0D39" w:rsidRDefault="00DF02D8">
            <w:pPr>
              <w:keepNext/>
              <w:keepLines/>
              <w:spacing w:before="40" w:after="40"/>
              <w:jc w:val="right"/>
              <w:rPr>
                <w:b/>
              </w:rPr>
            </w:pPr>
            <w:r>
              <w:rPr>
                <w:b/>
                <w:color w:val="000000"/>
              </w:rPr>
              <w:t>61.7</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193" w:type="dxa"/>
            <w:tcMar>
              <w:left w:w="0" w:type="dxa"/>
              <w:right w:w="0" w:type="dxa"/>
            </w:tcMar>
            <w:vAlign w:val="bottom"/>
          </w:tcPr>
          <w:p w:rsidR="005E0D39" w:rsidRDefault="00DF02D8">
            <w:pPr>
              <w:keepNext/>
              <w:keepLines/>
              <w:spacing w:before="40" w:after="40"/>
              <w:jc w:val="right"/>
            </w:pPr>
            <w:r>
              <w:rPr>
                <w:color w:val="000000"/>
              </w:rPr>
              <w:t>60.9</w:t>
            </w:r>
          </w:p>
        </w:tc>
        <w:tc>
          <w:tcPr>
            <w:tcW w:w="77" w:type="dxa"/>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173" w:type="dxa"/>
            <w:tcMar>
              <w:left w:w="0" w:type="dxa"/>
              <w:right w:w="0" w:type="dxa"/>
            </w:tcMar>
            <w:vAlign w:val="bottom"/>
          </w:tcPr>
          <w:p w:rsidR="005E0D39" w:rsidRDefault="00DF02D8">
            <w:pPr>
              <w:keepNext/>
              <w:keepLines/>
              <w:spacing w:before="40" w:after="40"/>
              <w:jc w:val="right"/>
              <w:rPr>
                <w:b/>
              </w:rPr>
            </w:pPr>
            <w:r>
              <w:rPr>
                <w:b/>
                <w:color w:val="000000"/>
              </w:rPr>
              <w:t>193.8</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213" w:type="dxa"/>
            <w:tcMar>
              <w:left w:w="0" w:type="dxa"/>
              <w:right w:w="0" w:type="dxa"/>
            </w:tcMar>
            <w:vAlign w:val="bottom"/>
          </w:tcPr>
          <w:p w:rsidR="005E0D39" w:rsidRDefault="00DF02D8">
            <w:pPr>
              <w:keepNext/>
              <w:keepLines/>
              <w:spacing w:before="40" w:after="40"/>
              <w:jc w:val="right"/>
            </w:pPr>
            <w:r>
              <w:rPr>
                <w:color w:val="000000"/>
              </w:rPr>
              <w:t>172.7</w:t>
            </w:r>
          </w:p>
        </w:tc>
        <w:tc>
          <w:tcPr>
            <w:tcW w:w="77" w:type="dxa"/>
            <w:tcMar>
              <w:left w:w="0" w:type="dxa"/>
              <w:right w:w="0" w:type="dxa"/>
            </w:tcMar>
          </w:tcPr>
          <w:p w:rsidR="005E0D39" w:rsidRDefault="005E0D39"/>
        </w:tc>
      </w:tr>
      <w:tr w:rsidR="007070F7" w:rsidTr="007070F7">
        <w:trPr>
          <w:trHeight w:hRule="exact" w:val="280"/>
          <w:jc w:val="center"/>
        </w:trPr>
        <w:tc>
          <w:tcPr>
            <w:tcW w:w="3680" w:type="dxa"/>
            <w:tcMar>
              <w:left w:w="60" w:type="dxa"/>
              <w:right w:w="40" w:type="dxa"/>
            </w:tcMar>
            <w:vAlign w:val="bottom"/>
          </w:tcPr>
          <w:p w:rsidR="005E0D39" w:rsidRDefault="00DF02D8">
            <w:pPr>
              <w:keepNext/>
              <w:keepLines/>
              <w:spacing w:before="40" w:after="40"/>
            </w:pPr>
            <w:r>
              <w:rPr>
                <w:color w:val="000000"/>
              </w:rPr>
              <w:t>Interest expense</w:t>
            </w:r>
          </w:p>
        </w:tc>
        <w:tc>
          <w:tcPr>
            <w:tcW w:w="1363" w:type="dxa"/>
            <w:gridSpan w:val="2"/>
            <w:tcMar>
              <w:left w:w="0" w:type="dxa"/>
              <w:right w:w="0" w:type="dxa"/>
            </w:tcMar>
            <w:vAlign w:val="bottom"/>
          </w:tcPr>
          <w:p w:rsidR="005E0D39" w:rsidRDefault="00DF02D8">
            <w:pPr>
              <w:keepNext/>
              <w:keepLines/>
              <w:spacing w:before="40" w:after="40"/>
              <w:jc w:val="right"/>
              <w:rPr>
                <w:b/>
              </w:rPr>
            </w:pPr>
            <w:r>
              <w:rPr>
                <w:b/>
                <w:color w:val="000000"/>
              </w:rPr>
              <w:t>23.2</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303" w:type="dxa"/>
            <w:gridSpan w:val="2"/>
            <w:tcMar>
              <w:left w:w="0" w:type="dxa"/>
              <w:right w:w="0" w:type="dxa"/>
            </w:tcMar>
            <w:vAlign w:val="bottom"/>
          </w:tcPr>
          <w:p w:rsidR="005E0D39" w:rsidRDefault="00DF02D8">
            <w:pPr>
              <w:keepNext/>
              <w:keepLines/>
              <w:spacing w:before="40" w:after="40"/>
              <w:jc w:val="right"/>
            </w:pPr>
            <w:r>
              <w:rPr>
                <w:color w:val="000000"/>
              </w:rPr>
              <w:t>24.8</w:t>
            </w:r>
          </w:p>
        </w:tc>
        <w:tc>
          <w:tcPr>
            <w:tcW w:w="77" w:type="dxa"/>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70.2</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74.7</w:t>
            </w:r>
          </w:p>
        </w:tc>
        <w:tc>
          <w:tcPr>
            <w:tcW w:w="77" w:type="dxa"/>
            <w:tcMar>
              <w:left w:w="0" w:type="dxa"/>
              <w:right w:w="0" w:type="dxa"/>
            </w:tcMar>
          </w:tcPr>
          <w:p w:rsidR="005E0D39" w:rsidRDefault="005E0D39"/>
        </w:tc>
      </w:tr>
      <w:tr w:rsidR="007070F7" w:rsidTr="007070F7">
        <w:trPr>
          <w:trHeight w:hRule="exact" w:val="280"/>
          <w:jc w:val="center"/>
        </w:trPr>
        <w:tc>
          <w:tcPr>
            <w:tcW w:w="3680" w:type="dxa"/>
            <w:tcMar>
              <w:left w:w="60" w:type="dxa"/>
              <w:right w:w="40" w:type="dxa"/>
            </w:tcMar>
            <w:vAlign w:val="bottom"/>
          </w:tcPr>
          <w:p w:rsidR="005E0D39" w:rsidRDefault="00DF02D8">
            <w:pPr>
              <w:keepNext/>
              <w:keepLines/>
              <w:spacing w:before="40" w:after="40"/>
            </w:pPr>
            <w:r>
              <w:rPr>
                <w:color w:val="000000"/>
              </w:rPr>
              <w:t>Income tax expense</w:t>
            </w:r>
          </w:p>
        </w:tc>
        <w:tc>
          <w:tcPr>
            <w:tcW w:w="1363" w:type="dxa"/>
            <w:gridSpan w:val="2"/>
            <w:tcMar>
              <w:left w:w="0" w:type="dxa"/>
              <w:right w:w="0" w:type="dxa"/>
            </w:tcMar>
            <w:vAlign w:val="bottom"/>
          </w:tcPr>
          <w:p w:rsidR="005E0D39" w:rsidRDefault="00DF02D8">
            <w:pPr>
              <w:keepNext/>
              <w:keepLines/>
              <w:spacing w:before="40" w:after="40"/>
              <w:jc w:val="right"/>
              <w:rPr>
                <w:b/>
              </w:rPr>
            </w:pPr>
            <w:r>
              <w:rPr>
                <w:b/>
                <w:color w:val="000000"/>
              </w:rPr>
              <w:t>17.8</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303" w:type="dxa"/>
            <w:gridSpan w:val="2"/>
            <w:tcMar>
              <w:left w:w="0" w:type="dxa"/>
              <w:right w:w="0" w:type="dxa"/>
            </w:tcMar>
            <w:vAlign w:val="bottom"/>
          </w:tcPr>
          <w:p w:rsidR="005E0D39" w:rsidRDefault="00DF02D8">
            <w:pPr>
              <w:keepNext/>
              <w:keepLines/>
              <w:spacing w:before="40" w:after="40"/>
              <w:jc w:val="right"/>
            </w:pPr>
            <w:r>
              <w:rPr>
                <w:color w:val="000000"/>
              </w:rPr>
              <w:t>14.4</w:t>
            </w:r>
          </w:p>
        </w:tc>
        <w:tc>
          <w:tcPr>
            <w:tcW w:w="77" w:type="dxa"/>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283" w:type="dxa"/>
            <w:gridSpan w:val="2"/>
            <w:tcMar>
              <w:left w:w="0" w:type="dxa"/>
              <w:right w:w="0" w:type="dxa"/>
            </w:tcMar>
            <w:vAlign w:val="bottom"/>
          </w:tcPr>
          <w:p w:rsidR="005E0D39" w:rsidRDefault="00DF02D8">
            <w:pPr>
              <w:keepNext/>
              <w:keepLines/>
              <w:spacing w:before="40" w:after="40"/>
              <w:jc w:val="right"/>
              <w:rPr>
                <w:b/>
              </w:rPr>
            </w:pPr>
            <w:r>
              <w:rPr>
                <w:b/>
                <w:color w:val="000000"/>
              </w:rPr>
              <w:t>53.8</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23" w:type="dxa"/>
            <w:gridSpan w:val="2"/>
            <w:tcMar>
              <w:left w:w="0" w:type="dxa"/>
              <w:right w:w="0" w:type="dxa"/>
            </w:tcMar>
            <w:vAlign w:val="bottom"/>
          </w:tcPr>
          <w:p w:rsidR="005E0D39" w:rsidRDefault="00DF02D8">
            <w:pPr>
              <w:keepNext/>
              <w:keepLines/>
              <w:spacing w:before="40" w:after="40"/>
              <w:jc w:val="right"/>
            </w:pPr>
            <w:r>
              <w:rPr>
                <w:color w:val="000000"/>
              </w:rPr>
              <w:t>36.5</w:t>
            </w:r>
          </w:p>
        </w:tc>
        <w:tc>
          <w:tcPr>
            <w:tcW w:w="77" w:type="dxa"/>
            <w:tcMar>
              <w:left w:w="0" w:type="dxa"/>
              <w:right w:w="0" w:type="dxa"/>
            </w:tcMar>
          </w:tcPr>
          <w:p w:rsidR="005E0D39" w:rsidRDefault="005E0D39"/>
        </w:tc>
      </w:tr>
      <w:tr w:rsidR="007070F7" w:rsidTr="007070F7">
        <w:trPr>
          <w:trHeight w:hRule="exact" w:val="280"/>
          <w:jc w:val="center"/>
        </w:trPr>
        <w:tc>
          <w:tcPr>
            <w:tcW w:w="3680" w:type="dxa"/>
            <w:tcMar>
              <w:left w:w="60" w:type="dxa"/>
              <w:right w:w="40" w:type="dxa"/>
            </w:tcMar>
            <w:vAlign w:val="bottom"/>
          </w:tcPr>
          <w:p w:rsidR="005E0D39" w:rsidRDefault="00DF02D8">
            <w:pPr>
              <w:keepNext/>
              <w:keepLines/>
              <w:spacing w:before="40" w:after="40"/>
            </w:pPr>
            <w:r>
              <w:rPr>
                <w:color w:val="000000"/>
              </w:rPr>
              <w:t>Depreciation and amortization</w:t>
            </w:r>
          </w:p>
        </w:tc>
        <w:tc>
          <w:tcPr>
            <w:tcW w:w="13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49.9</w:t>
            </w:r>
          </w:p>
        </w:tc>
        <w:tc>
          <w:tcPr>
            <w:tcW w:w="77"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3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49.1</w:t>
            </w:r>
          </w:p>
        </w:tc>
        <w:tc>
          <w:tcPr>
            <w:tcW w:w="77" w:type="dxa"/>
            <w:tcBorders>
              <w:bottom w:val="single" w:sz="8" w:space="0" w:color="auto"/>
            </w:tcBorders>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150.4</w:t>
            </w:r>
          </w:p>
        </w:tc>
        <w:tc>
          <w:tcPr>
            <w:tcW w:w="77" w:type="dxa"/>
            <w:tcBorders>
              <w:bottom w:val="single" w:sz="8"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149.7</w:t>
            </w:r>
          </w:p>
        </w:tc>
        <w:tc>
          <w:tcPr>
            <w:tcW w:w="77" w:type="dxa"/>
            <w:tcBorders>
              <w:bottom w:val="single" w:sz="8" w:space="0" w:color="auto"/>
            </w:tcBorders>
            <w:tcMar>
              <w:left w:w="0" w:type="dxa"/>
              <w:right w:w="0" w:type="dxa"/>
            </w:tcMar>
          </w:tcPr>
          <w:p w:rsidR="005E0D39" w:rsidRDefault="005E0D39"/>
        </w:tc>
      </w:tr>
      <w:tr w:rsidR="005E0D39">
        <w:trPr>
          <w:trHeight w:hRule="exact" w:val="280"/>
          <w:jc w:val="center"/>
        </w:trPr>
        <w:tc>
          <w:tcPr>
            <w:tcW w:w="3680" w:type="dxa"/>
            <w:tcMar>
              <w:left w:w="60" w:type="dxa"/>
              <w:right w:w="40" w:type="dxa"/>
            </w:tcMar>
            <w:vAlign w:val="bottom"/>
          </w:tcPr>
          <w:p w:rsidR="005E0D39" w:rsidRDefault="00DF02D8">
            <w:pPr>
              <w:keepNext/>
              <w:keepLines/>
              <w:spacing w:before="40" w:after="40"/>
              <w:rPr>
                <w:b/>
              </w:rPr>
            </w:pPr>
            <w:r>
              <w:rPr>
                <w:b/>
                <w:color w:val="000000"/>
              </w:rPr>
              <w:t>EBITDA</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25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152.6</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19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149.2</w:t>
            </w:r>
          </w:p>
        </w:tc>
        <w:tc>
          <w:tcPr>
            <w:tcW w:w="77" w:type="dxa"/>
            <w:tcBorders>
              <w:bottom w:val="double" w:sz="4" w:space="0" w:color="auto"/>
            </w:tcBorders>
            <w:tcMar>
              <w:left w:w="0" w:type="dxa"/>
              <w:right w:w="0" w:type="dxa"/>
            </w:tcMar>
          </w:tcPr>
          <w:p w:rsidR="005E0D39" w:rsidRDefault="005E0D39"/>
        </w:tc>
        <w:tc>
          <w:tcPr>
            <w:tcW w:w="12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173"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468.2</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21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433.6</w:t>
            </w:r>
          </w:p>
        </w:tc>
        <w:tc>
          <w:tcPr>
            <w:tcW w:w="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3680" w:type="dxa"/>
            <w:tcMar>
              <w:left w:w="60" w:type="dxa"/>
              <w:right w:w="40" w:type="dxa"/>
            </w:tcMar>
            <w:vAlign w:val="bottom"/>
          </w:tcPr>
          <w:p w:rsidR="005E0D39" w:rsidRDefault="00DF02D8">
            <w:pPr>
              <w:keepNext/>
              <w:keepLines/>
              <w:spacing w:before="40" w:after="40"/>
            </w:pPr>
            <w:r>
              <w:t xml:space="preserve">Special charges </w:t>
            </w:r>
            <w:r>
              <w:rPr>
                <w:vertAlign w:val="superscript"/>
              </w:rPr>
              <w:t>(b)</w:t>
            </w:r>
          </w:p>
        </w:tc>
        <w:tc>
          <w:tcPr>
            <w:tcW w:w="1363" w:type="dxa"/>
            <w:gridSpan w:val="2"/>
            <w:tcMar>
              <w:left w:w="0" w:type="dxa"/>
              <w:right w:w="0" w:type="dxa"/>
            </w:tcMar>
            <w:vAlign w:val="bottom"/>
          </w:tcPr>
          <w:p w:rsidR="005E0D39" w:rsidRDefault="00DF02D8">
            <w:pPr>
              <w:keepNext/>
              <w:keepLines/>
              <w:spacing w:before="40" w:after="40"/>
              <w:jc w:val="right"/>
              <w:rPr>
                <w:b/>
              </w:rPr>
            </w:pPr>
            <w:r>
              <w:rPr>
                <w:b/>
                <w:color w:val="000000"/>
              </w:rPr>
              <w:t>3.4</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03" w:type="dxa"/>
            <w:gridSpan w:val="2"/>
            <w:tcBorders>
              <w:top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w:t>
            </w:r>
          </w:p>
        </w:tc>
        <w:tc>
          <w:tcPr>
            <w:tcW w:w="77" w:type="dxa"/>
            <w:tcBorders>
              <w:top w:val="double" w:sz="4" w:space="0" w:color="auto"/>
            </w:tcBorders>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283" w:type="dxa"/>
            <w:gridSpan w:val="2"/>
            <w:tcBorders>
              <w:top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3.4</w:t>
            </w:r>
          </w:p>
        </w:tc>
        <w:tc>
          <w:tcPr>
            <w:tcW w:w="77" w:type="dxa"/>
            <w:tcBorders>
              <w:top w:val="double" w:sz="4"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23" w:type="dxa"/>
            <w:gridSpan w:val="2"/>
            <w:tcBorders>
              <w:top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w:t>
            </w:r>
          </w:p>
        </w:tc>
        <w:tc>
          <w:tcPr>
            <w:tcW w:w="77" w:type="dxa"/>
            <w:tcBorders>
              <w:top w:val="double" w:sz="4" w:space="0" w:color="auto"/>
            </w:tcBorders>
            <w:tcMar>
              <w:left w:w="0" w:type="dxa"/>
              <w:right w:w="0" w:type="dxa"/>
            </w:tcMar>
          </w:tcPr>
          <w:p w:rsidR="005E0D39" w:rsidRDefault="005E0D39"/>
        </w:tc>
      </w:tr>
      <w:tr w:rsidR="007070F7" w:rsidTr="007070F7">
        <w:trPr>
          <w:trHeight w:hRule="exact" w:val="280"/>
          <w:jc w:val="center"/>
        </w:trPr>
        <w:tc>
          <w:tcPr>
            <w:tcW w:w="3680" w:type="dxa"/>
            <w:tcMar>
              <w:left w:w="60" w:type="dxa"/>
              <w:right w:w="40" w:type="dxa"/>
            </w:tcMar>
            <w:vAlign w:val="bottom"/>
          </w:tcPr>
          <w:p w:rsidR="005E0D39" w:rsidRDefault="00DF02D8">
            <w:pPr>
              <w:keepNext/>
              <w:keepLines/>
              <w:spacing w:before="40" w:after="40"/>
            </w:pPr>
            <w:r>
              <w:t xml:space="preserve">Other non-recurring items </w:t>
            </w:r>
            <w:r>
              <w:rPr>
                <w:vertAlign w:val="superscript"/>
              </w:rPr>
              <w:t>(c)</w:t>
            </w:r>
          </w:p>
        </w:tc>
        <w:tc>
          <w:tcPr>
            <w:tcW w:w="13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0.7</w:t>
            </w:r>
          </w:p>
        </w:tc>
        <w:tc>
          <w:tcPr>
            <w:tcW w:w="77" w:type="dxa"/>
            <w:tcBorders>
              <w:bottom w:val="single" w:sz="8"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3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w:t>
            </w:r>
          </w:p>
        </w:tc>
        <w:tc>
          <w:tcPr>
            <w:tcW w:w="77" w:type="dxa"/>
            <w:tcBorders>
              <w:bottom w:val="single" w:sz="8" w:space="0" w:color="auto"/>
            </w:tcBorders>
            <w:tcMar>
              <w:left w:w="0" w:type="dxa"/>
              <w:right w:w="0" w:type="dxa"/>
            </w:tcMar>
          </w:tcPr>
          <w:p w:rsidR="005E0D39" w:rsidRDefault="005E0D39"/>
        </w:tc>
        <w:tc>
          <w:tcPr>
            <w:tcW w:w="120" w:type="dxa"/>
            <w:tcMar>
              <w:left w:w="0" w:type="dxa"/>
              <w:right w:w="60" w:type="dxa"/>
            </w:tcMar>
            <w:vAlign w:val="bottom"/>
          </w:tcPr>
          <w:p w:rsidR="005E0D39" w:rsidRDefault="005E0D39">
            <w:pPr>
              <w:keepNext/>
              <w:keepLines/>
              <w:spacing w:before="40" w:after="40"/>
            </w:pPr>
          </w:p>
        </w:tc>
        <w:tc>
          <w:tcPr>
            <w:tcW w:w="12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(0.3</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0" w:type="dxa"/>
              <w:right w:w="60" w:type="dxa"/>
            </w:tcMar>
            <w:vAlign w:val="bottom"/>
          </w:tcPr>
          <w:p w:rsidR="005E0D39" w:rsidRDefault="005E0D39">
            <w:pPr>
              <w:keepNext/>
              <w:keepLines/>
              <w:spacing w:before="40" w:after="40"/>
            </w:pPr>
          </w:p>
        </w:tc>
        <w:tc>
          <w:tcPr>
            <w:tcW w:w="13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w:t>
            </w:r>
          </w:p>
        </w:tc>
        <w:tc>
          <w:tcPr>
            <w:tcW w:w="77" w:type="dxa"/>
            <w:tcBorders>
              <w:bottom w:val="single" w:sz="8" w:space="0" w:color="auto"/>
            </w:tcBorders>
            <w:tcMar>
              <w:left w:w="0" w:type="dxa"/>
              <w:right w:w="0" w:type="dxa"/>
            </w:tcMar>
          </w:tcPr>
          <w:p w:rsidR="005E0D39" w:rsidRDefault="005E0D39"/>
        </w:tc>
      </w:tr>
      <w:tr w:rsidR="005E0D39">
        <w:trPr>
          <w:trHeight w:hRule="exact" w:val="280"/>
          <w:jc w:val="center"/>
        </w:trPr>
        <w:tc>
          <w:tcPr>
            <w:tcW w:w="3680" w:type="dxa"/>
            <w:tcMar>
              <w:left w:w="60" w:type="dxa"/>
              <w:right w:w="40" w:type="dxa"/>
            </w:tcMar>
            <w:vAlign w:val="bottom"/>
          </w:tcPr>
          <w:p w:rsidR="005E0D39" w:rsidRDefault="00DF02D8">
            <w:pPr>
              <w:keepLines/>
              <w:spacing w:before="40" w:after="40"/>
              <w:rPr>
                <w:b/>
              </w:rPr>
            </w:pPr>
            <w:r>
              <w:rPr>
                <w:b/>
                <w:color w:val="000000"/>
              </w:rPr>
              <w:t>Adjusted EBITDA</w:t>
            </w: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25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156.7</w:t>
            </w:r>
          </w:p>
        </w:tc>
        <w:tc>
          <w:tcPr>
            <w:tcW w:w="77" w:type="dxa"/>
            <w:tcBorders>
              <w:bottom w:val="double" w:sz="4"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19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149.2</w:t>
            </w:r>
          </w:p>
        </w:tc>
        <w:tc>
          <w:tcPr>
            <w:tcW w:w="77" w:type="dxa"/>
            <w:tcBorders>
              <w:bottom w:val="double" w:sz="4" w:space="0" w:color="auto"/>
            </w:tcBorders>
            <w:tcMar>
              <w:left w:w="0" w:type="dxa"/>
              <w:right w:w="0" w:type="dxa"/>
            </w:tcMar>
          </w:tcPr>
          <w:p w:rsidR="005E0D39" w:rsidRDefault="005E0D39"/>
        </w:tc>
        <w:tc>
          <w:tcPr>
            <w:tcW w:w="120" w:type="dxa"/>
            <w:tcMar>
              <w:left w:w="0" w:type="dxa"/>
              <w:right w:w="6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17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471.3</w:t>
            </w:r>
          </w:p>
        </w:tc>
        <w:tc>
          <w:tcPr>
            <w:tcW w:w="77" w:type="dxa"/>
            <w:tcBorders>
              <w:bottom w:val="double" w:sz="4"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21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433.6</w:t>
            </w:r>
          </w:p>
        </w:tc>
        <w:tc>
          <w:tcPr>
            <w:tcW w:w="77" w:type="dxa"/>
            <w:tcBorders>
              <w:bottom w:val="double" w:sz="4" w:space="0" w:color="auto"/>
            </w:tcBorders>
            <w:tcMar>
              <w:left w:w="0" w:type="dxa"/>
              <w:right w:w="0" w:type="dxa"/>
            </w:tcMar>
          </w:tcPr>
          <w:p w:rsidR="005E0D39" w:rsidRDefault="005E0D39"/>
        </w:tc>
      </w:tr>
    </w:tbl>
    <w:p w:rsidR="005E0D39" w:rsidRDefault="005E0D39">
      <w:pPr>
        <w:spacing w:before="60" w:line="288" w:lineRule="auto"/>
      </w:pPr>
    </w:p>
    <w:p w:rsidR="005E0D39" w:rsidRDefault="005E0D39">
      <w:pPr>
        <w:spacing w:line="288" w:lineRule="auto"/>
        <w:jc w:val="center"/>
        <w:rPr>
          <w:b/>
        </w:rPr>
      </w:pPr>
    </w:p>
    <w:p w:rsidR="005E0D39" w:rsidRDefault="00DF02D8">
      <w:pPr>
        <w:spacing w:after="140"/>
        <w:jc w:val="center"/>
        <w:rPr>
          <w:b/>
        </w:rPr>
      </w:pPr>
      <w:r>
        <w:rPr>
          <w:b/>
        </w:rPr>
        <w:t xml:space="preserve">Net </w:t>
      </w:r>
      <w:proofErr w:type="gramStart"/>
      <w:r>
        <w:rPr>
          <w:b/>
        </w:rPr>
        <w:t>debt</w:t>
      </w:r>
      <w:r>
        <w:rPr>
          <w:b/>
          <w:sz w:val="16"/>
          <w:vertAlign w:val="superscript"/>
        </w:rPr>
        <w:t>(</w:t>
      </w:r>
      <w:proofErr w:type="gramEnd"/>
      <w:r>
        <w:rPr>
          <w:b/>
          <w:sz w:val="16"/>
          <w:vertAlign w:val="superscript"/>
        </w:rPr>
        <w:t xml:space="preserve">d) </w:t>
      </w:r>
      <w:r>
        <w:rPr>
          <w:b/>
        </w:rPr>
        <w:t>to capital</w:t>
      </w:r>
    </w:p>
    <w:tbl>
      <w:tblPr>
        <w:tblW w:w="9680" w:type="dxa"/>
        <w:jc w:val="center"/>
        <w:tblLayout w:type="fixed"/>
        <w:tblCellMar>
          <w:left w:w="10" w:type="dxa"/>
          <w:right w:w="10" w:type="dxa"/>
        </w:tblCellMar>
        <w:tblLook w:val="04A0" w:firstRow="1" w:lastRow="0" w:firstColumn="1" w:lastColumn="0" w:noHBand="0" w:noVBand="1"/>
      </w:tblPr>
      <w:tblGrid>
        <w:gridCol w:w="6240"/>
        <w:gridCol w:w="110"/>
        <w:gridCol w:w="1360"/>
        <w:gridCol w:w="210"/>
        <w:gridCol w:w="80"/>
        <w:gridCol w:w="110"/>
        <w:gridCol w:w="1393"/>
        <w:gridCol w:w="177"/>
      </w:tblGrid>
      <w:tr w:rsidR="007070F7" w:rsidTr="007070F7">
        <w:trPr>
          <w:trHeight w:hRule="exact" w:val="460"/>
          <w:jc w:val="center"/>
        </w:trPr>
        <w:tc>
          <w:tcPr>
            <w:tcW w:w="6240" w:type="dxa"/>
            <w:tcMar>
              <w:left w:w="6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 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December 31, 2015</w:t>
            </w:r>
          </w:p>
        </w:tc>
      </w:tr>
      <w:tr w:rsidR="007070F7" w:rsidTr="007070F7">
        <w:trPr>
          <w:trHeight w:hRule="exact" w:val="240"/>
          <w:jc w:val="center"/>
        </w:trPr>
        <w:tc>
          <w:tcPr>
            <w:tcW w:w="624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 except percentages)</w:t>
            </w:r>
          </w:p>
        </w:tc>
      </w:tr>
      <w:tr w:rsidR="007070F7" w:rsidTr="007070F7">
        <w:trPr>
          <w:trHeight w:hRule="exact" w:val="280"/>
          <w:jc w:val="center"/>
        </w:trPr>
        <w:tc>
          <w:tcPr>
            <w:tcW w:w="62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6240" w:type="dxa"/>
            <w:tcMar>
              <w:left w:w="60" w:type="dxa"/>
              <w:right w:w="40" w:type="dxa"/>
            </w:tcMar>
            <w:vAlign w:val="bottom"/>
          </w:tcPr>
          <w:p w:rsidR="005E0D39" w:rsidRDefault="00DF02D8">
            <w:pPr>
              <w:keepNext/>
              <w:keepLines/>
              <w:spacing w:before="40" w:after="40"/>
            </w:pPr>
            <w:r>
              <w:rPr>
                <w:color w:val="000000"/>
              </w:rPr>
              <w:t>Current portion of long-term debt</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360" w:type="dxa"/>
            <w:tcMar>
              <w:left w:w="0" w:type="dxa"/>
              <w:right w:w="0" w:type="dxa"/>
            </w:tcMar>
            <w:vAlign w:val="bottom"/>
          </w:tcPr>
          <w:p w:rsidR="005E0D39" w:rsidRDefault="00DF02D8">
            <w:pPr>
              <w:keepNext/>
              <w:keepLines/>
              <w:spacing w:before="40" w:after="40"/>
              <w:jc w:val="right"/>
              <w:rPr>
                <w:b/>
              </w:rPr>
            </w:pPr>
            <w:r>
              <w:rPr>
                <w:b/>
                <w:color w:val="000000"/>
              </w:rPr>
              <w:t>3.4</w:t>
            </w:r>
          </w:p>
        </w:tc>
        <w:tc>
          <w:tcPr>
            <w:tcW w:w="210"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393" w:type="dxa"/>
            <w:tcMar>
              <w:left w:w="0" w:type="dxa"/>
              <w:right w:w="0" w:type="dxa"/>
            </w:tcMar>
            <w:vAlign w:val="bottom"/>
          </w:tcPr>
          <w:p w:rsidR="005E0D39" w:rsidRDefault="00DF02D8">
            <w:pPr>
              <w:keepNext/>
              <w:keepLines/>
              <w:spacing w:before="40" w:after="40"/>
              <w:jc w:val="right"/>
            </w:pPr>
            <w:r>
              <w:rPr>
                <w:color w:val="000000"/>
              </w:rPr>
              <w:t>3.3</w:t>
            </w:r>
          </w:p>
        </w:tc>
        <w:tc>
          <w:tcPr>
            <w:tcW w:w="177" w:type="dxa"/>
            <w:tcMar>
              <w:left w:w="0" w:type="dxa"/>
              <w:right w:w="0" w:type="dxa"/>
            </w:tcMar>
          </w:tcPr>
          <w:p w:rsidR="005E0D39" w:rsidRDefault="005E0D39"/>
        </w:tc>
      </w:tr>
      <w:tr w:rsidR="007070F7" w:rsidTr="007070F7">
        <w:trPr>
          <w:trHeight w:hRule="exact" w:val="300"/>
          <w:jc w:val="center"/>
        </w:trPr>
        <w:tc>
          <w:tcPr>
            <w:tcW w:w="6240" w:type="dxa"/>
            <w:tcMar>
              <w:left w:w="60" w:type="dxa"/>
              <w:right w:w="40" w:type="dxa"/>
            </w:tcMar>
            <w:vAlign w:val="bottom"/>
          </w:tcPr>
          <w:p w:rsidR="005E0D39" w:rsidRDefault="00DF02D8">
            <w:pPr>
              <w:keepNext/>
              <w:keepLines/>
              <w:spacing w:before="40" w:after="40"/>
            </w:pPr>
            <w:r>
              <w:rPr>
                <w:color w:val="000000"/>
              </w:rPr>
              <w:t>Long-term debt, net</w:t>
            </w:r>
          </w:p>
        </w:tc>
        <w:tc>
          <w:tcPr>
            <w:tcW w:w="1470"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1,401.0</w:t>
            </w:r>
          </w:p>
        </w:tc>
        <w:tc>
          <w:tcPr>
            <w:tcW w:w="210"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1,375.7</w:t>
            </w:r>
          </w:p>
        </w:tc>
        <w:tc>
          <w:tcPr>
            <w:tcW w:w="177" w:type="dxa"/>
            <w:tcBorders>
              <w:bottom w:val="single" w:sz="8" w:space="0" w:color="auto"/>
            </w:tcBorders>
            <w:tcMar>
              <w:left w:w="0" w:type="dxa"/>
              <w:right w:w="0" w:type="dxa"/>
            </w:tcMar>
          </w:tcPr>
          <w:p w:rsidR="005E0D39" w:rsidRDefault="005E0D39"/>
        </w:tc>
      </w:tr>
      <w:tr w:rsidR="007070F7" w:rsidTr="007070F7">
        <w:trPr>
          <w:trHeight w:hRule="exact" w:val="300"/>
          <w:jc w:val="center"/>
        </w:trPr>
        <w:tc>
          <w:tcPr>
            <w:tcW w:w="6240" w:type="dxa"/>
            <w:tcMar>
              <w:left w:w="60" w:type="dxa"/>
              <w:right w:w="40" w:type="dxa"/>
            </w:tcMar>
            <w:vAlign w:val="bottom"/>
          </w:tcPr>
          <w:p w:rsidR="005E0D39" w:rsidRDefault="00DF02D8">
            <w:pPr>
              <w:keepNext/>
              <w:keepLines/>
              <w:spacing w:before="40" w:after="40"/>
              <w:rPr>
                <w:b/>
              </w:rPr>
            </w:pPr>
            <w:r>
              <w:rPr>
                <w:b/>
                <w:color w:val="000000"/>
              </w:rPr>
              <w:t>Total debt, net</w:t>
            </w:r>
          </w:p>
        </w:tc>
        <w:tc>
          <w:tcPr>
            <w:tcW w:w="1470" w:type="dxa"/>
            <w:gridSpan w:val="2"/>
            <w:tcMar>
              <w:left w:w="0" w:type="dxa"/>
              <w:right w:w="0" w:type="dxa"/>
            </w:tcMar>
            <w:vAlign w:val="bottom"/>
          </w:tcPr>
          <w:p w:rsidR="005E0D39" w:rsidRDefault="00DF02D8">
            <w:pPr>
              <w:keepNext/>
              <w:keepLines/>
              <w:spacing w:before="40" w:after="40"/>
              <w:jc w:val="right"/>
              <w:rPr>
                <w:b/>
              </w:rPr>
            </w:pPr>
            <w:r>
              <w:rPr>
                <w:b/>
                <w:color w:val="000000"/>
              </w:rPr>
              <w:t>1,404.4</w:t>
            </w:r>
          </w:p>
        </w:tc>
        <w:tc>
          <w:tcPr>
            <w:tcW w:w="210"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03" w:type="dxa"/>
            <w:gridSpan w:val="2"/>
            <w:tcMar>
              <w:left w:w="0" w:type="dxa"/>
              <w:right w:w="0" w:type="dxa"/>
            </w:tcMar>
            <w:vAlign w:val="bottom"/>
          </w:tcPr>
          <w:p w:rsidR="005E0D39" w:rsidRDefault="00DF02D8">
            <w:pPr>
              <w:keepNext/>
              <w:keepLines/>
              <w:spacing w:before="40" w:after="40"/>
              <w:jc w:val="right"/>
            </w:pPr>
            <w:r>
              <w:rPr>
                <w:color w:val="000000"/>
              </w:rPr>
              <w:t>1,379.0</w:t>
            </w:r>
          </w:p>
        </w:tc>
        <w:tc>
          <w:tcPr>
            <w:tcW w:w="177" w:type="dxa"/>
            <w:tcMar>
              <w:left w:w="0" w:type="dxa"/>
              <w:right w:w="0" w:type="dxa"/>
            </w:tcMar>
          </w:tcPr>
          <w:p w:rsidR="005E0D39" w:rsidRDefault="005E0D39"/>
        </w:tc>
      </w:tr>
      <w:tr w:rsidR="007070F7" w:rsidTr="007070F7">
        <w:trPr>
          <w:trHeight w:hRule="exact" w:val="280"/>
          <w:jc w:val="center"/>
        </w:trPr>
        <w:tc>
          <w:tcPr>
            <w:tcW w:w="6240" w:type="dxa"/>
            <w:tcMar>
              <w:left w:w="60" w:type="dxa"/>
              <w:right w:w="40" w:type="dxa"/>
            </w:tcMar>
            <w:vAlign w:val="bottom"/>
          </w:tcPr>
          <w:p w:rsidR="005E0D39" w:rsidRDefault="00DF02D8">
            <w:pPr>
              <w:keepNext/>
              <w:keepLines/>
              <w:spacing w:before="40" w:after="40"/>
            </w:pPr>
            <w:r>
              <w:rPr>
                <w:color w:val="000000"/>
              </w:rPr>
              <w:t>Less: Cash and cash equivalents</w:t>
            </w:r>
          </w:p>
        </w:tc>
        <w:tc>
          <w:tcPr>
            <w:tcW w:w="1470"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433.9</w:t>
            </w:r>
          </w:p>
        </w:tc>
        <w:tc>
          <w:tcPr>
            <w:tcW w:w="210"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282.5</w:t>
            </w:r>
          </w:p>
        </w:tc>
        <w:tc>
          <w:tcPr>
            <w:tcW w:w="177" w:type="dxa"/>
            <w:tcBorders>
              <w:bottom w:val="single" w:sz="8" w:space="0" w:color="auto"/>
            </w:tcBorders>
            <w:tcMar>
              <w:left w:w="0" w:type="dxa"/>
              <w:right w:w="0" w:type="dxa"/>
            </w:tcMar>
          </w:tcPr>
          <w:p w:rsidR="005E0D39" w:rsidRDefault="005E0D39"/>
        </w:tc>
      </w:tr>
      <w:tr w:rsidR="007070F7" w:rsidTr="007070F7">
        <w:trPr>
          <w:trHeight w:hRule="exact" w:val="300"/>
          <w:jc w:val="center"/>
        </w:trPr>
        <w:tc>
          <w:tcPr>
            <w:tcW w:w="6240" w:type="dxa"/>
            <w:tcMar>
              <w:left w:w="60" w:type="dxa"/>
              <w:right w:w="40" w:type="dxa"/>
            </w:tcMar>
            <w:vAlign w:val="bottom"/>
          </w:tcPr>
          <w:p w:rsidR="005E0D39" w:rsidRDefault="00DF02D8">
            <w:pPr>
              <w:keepNext/>
              <w:keepLines/>
              <w:spacing w:before="40" w:after="40"/>
              <w:rPr>
                <w:b/>
              </w:rPr>
            </w:pPr>
            <w:r>
              <w:rPr>
                <w:b/>
              </w:rPr>
              <w:t>Net debt at end of period</w:t>
            </w:r>
          </w:p>
        </w:tc>
        <w:tc>
          <w:tcPr>
            <w:tcW w:w="1470" w:type="dxa"/>
            <w:gridSpan w:val="2"/>
            <w:tcMar>
              <w:left w:w="0" w:type="dxa"/>
              <w:right w:w="0" w:type="dxa"/>
            </w:tcMar>
            <w:vAlign w:val="bottom"/>
          </w:tcPr>
          <w:p w:rsidR="005E0D39" w:rsidRDefault="00DF02D8">
            <w:pPr>
              <w:keepNext/>
              <w:keepLines/>
              <w:spacing w:before="40" w:after="40"/>
              <w:jc w:val="right"/>
              <w:rPr>
                <w:b/>
              </w:rPr>
            </w:pPr>
            <w:r>
              <w:rPr>
                <w:b/>
                <w:color w:val="000000"/>
              </w:rPr>
              <w:t>970.5</w:t>
            </w:r>
          </w:p>
        </w:tc>
        <w:tc>
          <w:tcPr>
            <w:tcW w:w="210"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03" w:type="dxa"/>
            <w:gridSpan w:val="2"/>
            <w:tcMar>
              <w:left w:w="0" w:type="dxa"/>
              <w:right w:w="0" w:type="dxa"/>
            </w:tcMar>
            <w:vAlign w:val="bottom"/>
          </w:tcPr>
          <w:p w:rsidR="005E0D39" w:rsidRDefault="00DF02D8">
            <w:pPr>
              <w:keepNext/>
              <w:keepLines/>
              <w:spacing w:before="40" w:after="40"/>
              <w:jc w:val="right"/>
            </w:pPr>
            <w:r>
              <w:rPr>
                <w:color w:val="000000"/>
              </w:rPr>
              <w:t>1,096.5</w:t>
            </w:r>
          </w:p>
        </w:tc>
        <w:tc>
          <w:tcPr>
            <w:tcW w:w="177" w:type="dxa"/>
            <w:tcMar>
              <w:left w:w="0" w:type="dxa"/>
              <w:right w:w="0" w:type="dxa"/>
            </w:tcMar>
          </w:tcPr>
          <w:p w:rsidR="005E0D39" w:rsidRDefault="005E0D39"/>
        </w:tc>
      </w:tr>
      <w:tr w:rsidR="007070F7" w:rsidTr="007070F7">
        <w:trPr>
          <w:trHeight w:hRule="exact" w:val="300"/>
          <w:jc w:val="center"/>
        </w:trPr>
        <w:tc>
          <w:tcPr>
            <w:tcW w:w="6240" w:type="dxa"/>
            <w:tcMar>
              <w:left w:w="60" w:type="dxa"/>
              <w:right w:w="40" w:type="dxa"/>
            </w:tcMar>
            <w:vAlign w:val="bottom"/>
          </w:tcPr>
          <w:p w:rsidR="005E0D39" w:rsidRDefault="00DF02D8">
            <w:pPr>
              <w:keepNext/>
              <w:keepLines/>
              <w:spacing w:before="40" w:after="40"/>
            </w:pPr>
            <w:r>
              <w:rPr>
                <w:color w:val="000000"/>
              </w:rPr>
              <w:t>Stockholders' equity</w:t>
            </w:r>
          </w:p>
        </w:tc>
        <w:tc>
          <w:tcPr>
            <w:tcW w:w="1470"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520.0</w:t>
            </w:r>
          </w:p>
        </w:tc>
        <w:tc>
          <w:tcPr>
            <w:tcW w:w="210" w:type="dxa"/>
            <w:tcBorders>
              <w:bottom w:val="single" w:sz="8"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50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301.5</w:t>
            </w:r>
          </w:p>
        </w:tc>
        <w:tc>
          <w:tcPr>
            <w:tcW w:w="177" w:type="dxa"/>
            <w:tcBorders>
              <w:bottom w:val="single" w:sz="8" w:space="0" w:color="auto"/>
            </w:tcBorders>
            <w:tcMar>
              <w:left w:w="0" w:type="dxa"/>
              <w:right w:w="0" w:type="dxa"/>
            </w:tcMar>
          </w:tcPr>
          <w:p w:rsidR="005E0D39" w:rsidRDefault="005E0D39"/>
        </w:tc>
      </w:tr>
      <w:tr w:rsidR="005E0D39">
        <w:trPr>
          <w:trHeight w:hRule="exact" w:val="300"/>
          <w:jc w:val="center"/>
        </w:trPr>
        <w:tc>
          <w:tcPr>
            <w:tcW w:w="6240" w:type="dxa"/>
            <w:tcMar>
              <w:left w:w="60" w:type="dxa"/>
              <w:right w:w="40" w:type="dxa"/>
            </w:tcMar>
            <w:vAlign w:val="bottom"/>
          </w:tcPr>
          <w:p w:rsidR="005E0D39" w:rsidRDefault="00DF02D8">
            <w:pPr>
              <w:keepNext/>
              <w:keepLines/>
              <w:spacing w:before="40" w:after="40"/>
              <w:rPr>
                <w:b/>
              </w:rPr>
            </w:pPr>
            <w:r>
              <w:rPr>
                <w:b/>
              </w:rPr>
              <w:t>Total invested capital at end of period</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1360" w:type="dxa"/>
            <w:tcBorders>
              <w:bottom w:val="double" w:sz="4" w:space="0" w:color="auto"/>
            </w:tcBorders>
            <w:tcMar>
              <w:left w:w="0" w:type="dxa"/>
              <w:right w:w="0" w:type="dxa"/>
            </w:tcMar>
            <w:vAlign w:val="bottom"/>
          </w:tcPr>
          <w:p w:rsidR="005E0D39" w:rsidRDefault="00DF02D8">
            <w:pPr>
              <w:keepNext/>
              <w:keepLines/>
              <w:spacing w:before="40" w:after="40"/>
              <w:jc w:val="right"/>
              <w:rPr>
                <w:b/>
              </w:rPr>
            </w:pPr>
            <w:r>
              <w:rPr>
                <w:b/>
                <w:color w:val="000000"/>
              </w:rPr>
              <w:t>1,490.5</w:t>
            </w:r>
          </w:p>
        </w:tc>
        <w:tc>
          <w:tcPr>
            <w:tcW w:w="210"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39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1,398.0</w:t>
            </w:r>
          </w:p>
        </w:tc>
        <w:tc>
          <w:tcPr>
            <w:tcW w:w="1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624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300"/>
          <w:jc w:val="center"/>
        </w:trPr>
        <w:tc>
          <w:tcPr>
            <w:tcW w:w="6240" w:type="dxa"/>
            <w:tcMar>
              <w:left w:w="60" w:type="dxa"/>
              <w:right w:w="40" w:type="dxa"/>
            </w:tcMar>
            <w:vAlign w:val="bottom"/>
          </w:tcPr>
          <w:p w:rsidR="005E0D39" w:rsidRDefault="00DF02D8">
            <w:pPr>
              <w:keepNext/>
              <w:keepLines/>
              <w:spacing w:before="40" w:after="40"/>
              <w:rPr>
                <w:b/>
              </w:rPr>
            </w:pPr>
            <w:r>
              <w:rPr>
                <w:b/>
              </w:rPr>
              <w:t>Net debt to capital</w:t>
            </w:r>
            <w:r>
              <w:rPr>
                <w:b/>
                <w:vertAlign w:val="superscript"/>
              </w:rPr>
              <w:t>(e)</w:t>
            </w:r>
          </w:p>
        </w:tc>
        <w:tc>
          <w:tcPr>
            <w:tcW w:w="1470" w:type="dxa"/>
            <w:gridSpan w:val="2"/>
            <w:tcMar>
              <w:left w:w="0" w:type="dxa"/>
              <w:right w:w="0" w:type="dxa"/>
            </w:tcMar>
            <w:vAlign w:val="bottom"/>
          </w:tcPr>
          <w:p w:rsidR="005E0D39" w:rsidRDefault="00DF02D8">
            <w:pPr>
              <w:keepNext/>
              <w:keepLines/>
              <w:spacing w:before="40" w:after="40"/>
              <w:jc w:val="right"/>
              <w:rPr>
                <w:b/>
              </w:rPr>
            </w:pPr>
            <w:r>
              <w:rPr>
                <w:b/>
                <w:color w:val="000000"/>
              </w:rPr>
              <w:t>65.1</w:t>
            </w:r>
          </w:p>
        </w:tc>
        <w:tc>
          <w:tcPr>
            <w:tcW w:w="210" w:type="dxa"/>
            <w:tcMar>
              <w:left w:w="0" w:type="dxa"/>
              <w:right w:w="0" w:type="dxa"/>
            </w:tcMar>
            <w:vAlign w:val="bottom"/>
          </w:tcPr>
          <w:p w:rsidR="005E0D39" w:rsidRDefault="00DF02D8">
            <w:pPr>
              <w:keepNext/>
              <w:keepLines/>
              <w:spacing w:before="40" w:after="40"/>
              <w:jc w:val="right"/>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1503" w:type="dxa"/>
            <w:gridSpan w:val="2"/>
            <w:tcMar>
              <w:left w:w="0" w:type="dxa"/>
              <w:right w:w="0" w:type="dxa"/>
            </w:tcMar>
            <w:vAlign w:val="bottom"/>
          </w:tcPr>
          <w:p w:rsidR="005E0D39" w:rsidRDefault="00DF02D8">
            <w:pPr>
              <w:keepNext/>
              <w:keepLines/>
              <w:spacing w:before="40" w:after="40"/>
              <w:jc w:val="right"/>
            </w:pPr>
            <w:r>
              <w:rPr>
                <w:color w:val="000000"/>
              </w:rPr>
              <w:t>78.4</w:t>
            </w:r>
          </w:p>
        </w:tc>
        <w:tc>
          <w:tcPr>
            <w:tcW w:w="177" w:type="dxa"/>
            <w:tcMar>
              <w:left w:w="0" w:type="dxa"/>
              <w:right w:w="0" w:type="dxa"/>
            </w:tcMar>
            <w:vAlign w:val="bottom"/>
          </w:tcPr>
          <w:p w:rsidR="005E0D39" w:rsidRDefault="00DF02D8">
            <w:pPr>
              <w:keepNext/>
              <w:keepLines/>
              <w:spacing w:before="40" w:after="40"/>
              <w:jc w:val="right"/>
            </w:pPr>
            <w:r>
              <w:rPr>
                <w:color w:val="000000"/>
              </w:rPr>
              <w:t>%</w:t>
            </w:r>
          </w:p>
        </w:tc>
      </w:tr>
      <w:tr w:rsidR="007070F7" w:rsidTr="007070F7">
        <w:trPr>
          <w:trHeight w:hRule="exact" w:val="280"/>
          <w:jc w:val="center"/>
        </w:trPr>
        <w:tc>
          <w:tcPr>
            <w:tcW w:w="6240" w:type="dxa"/>
            <w:tcMar>
              <w:left w:w="60" w:type="dxa"/>
              <w:right w:w="0" w:type="dxa"/>
            </w:tcMar>
            <w:vAlign w:val="bottom"/>
          </w:tcPr>
          <w:p w:rsidR="005E0D39" w:rsidRDefault="005E0D39">
            <w:pPr>
              <w:keepLines/>
              <w:spacing w:before="40" w:after="40"/>
            </w:pPr>
          </w:p>
        </w:tc>
        <w:tc>
          <w:tcPr>
            <w:tcW w:w="0" w:type="dxa"/>
            <w:gridSpan w:val="3"/>
            <w:tcBorders>
              <w:top w:val="double" w:sz="4" w:space="0" w:color="auto"/>
            </w:tcBorders>
            <w:tcMar>
              <w:left w:w="60" w:type="dxa"/>
              <w:right w:w="0" w:type="dxa"/>
            </w:tcMar>
            <w:vAlign w:val="bottom"/>
          </w:tcPr>
          <w:p w:rsidR="005E0D39" w:rsidRDefault="005E0D39">
            <w:pPr>
              <w:keepLines/>
              <w:spacing w:before="40" w:after="40"/>
            </w:pPr>
          </w:p>
        </w:tc>
        <w:tc>
          <w:tcPr>
            <w:tcW w:w="80" w:type="dxa"/>
            <w:tcMar>
              <w:left w:w="60" w:type="dxa"/>
              <w:right w:w="0" w:type="dxa"/>
            </w:tcMar>
            <w:vAlign w:val="bottom"/>
          </w:tcPr>
          <w:p w:rsidR="005E0D39" w:rsidRDefault="005E0D39">
            <w:pPr>
              <w:keepLines/>
              <w:spacing w:before="40" w:after="40"/>
            </w:pPr>
          </w:p>
        </w:tc>
        <w:tc>
          <w:tcPr>
            <w:tcW w:w="0" w:type="dxa"/>
            <w:gridSpan w:val="3"/>
            <w:tcBorders>
              <w:top w:val="double" w:sz="4" w:space="0" w:color="auto"/>
            </w:tcBorders>
            <w:tcMar>
              <w:left w:w="60" w:type="dxa"/>
              <w:right w:w="0" w:type="dxa"/>
            </w:tcMar>
            <w:vAlign w:val="bottom"/>
          </w:tcPr>
          <w:p w:rsidR="005E0D39" w:rsidRDefault="005E0D39">
            <w:pPr>
              <w:keepLines/>
              <w:spacing w:before="40" w:after="40"/>
            </w:pPr>
          </w:p>
        </w:tc>
      </w:tr>
    </w:tbl>
    <w:p w:rsidR="005E0D39" w:rsidRDefault="005E0D39">
      <w:pPr>
        <w:spacing w:before="60" w:line="288" w:lineRule="auto"/>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5E0D39">
      <w:pPr>
        <w:spacing w:line="288" w:lineRule="auto"/>
        <w:jc w:val="center"/>
        <w:rPr>
          <w:b/>
        </w:rPr>
      </w:pPr>
    </w:p>
    <w:p w:rsidR="005E0D39" w:rsidRDefault="00DF02D8">
      <w:pPr>
        <w:spacing w:line="288" w:lineRule="auto"/>
        <w:jc w:val="center"/>
        <w:rPr>
          <w:b/>
        </w:rPr>
      </w:pPr>
      <w:r>
        <w:rPr>
          <w:b/>
        </w:rPr>
        <w:t>AMERICAN AXLE &amp; MANUFACTURING HOLDINGS, INC.</w:t>
      </w:r>
    </w:p>
    <w:p w:rsidR="005E0D39" w:rsidRDefault="00DF02D8">
      <w:pPr>
        <w:spacing w:line="288" w:lineRule="auto"/>
        <w:jc w:val="center"/>
        <w:rPr>
          <w:b/>
        </w:rPr>
      </w:pPr>
      <w:r>
        <w:rPr>
          <w:b/>
        </w:rPr>
        <w:t>SUPPLEMENTAL DATA</w:t>
      </w:r>
    </w:p>
    <w:p w:rsidR="005E0D39" w:rsidRDefault="00DF02D8">
      <w:pPr>
        <w:spacing w:after="180" w:line="288" w:lineRule="auto"/>
        <w:jc w:val="center"/>
        <w:rPr>
          <w:i/>
        </w:rPr>
      </w:pPr>
      <w:r>
        <w:rPr>
          <w:i/>
        </w:rPr>
        <w:t>(Unaudited)</w:t>
      </w:r>
    </w:p>
    <w:p w:rsidR="005E0D39" w:rsidRDefault="00DF02D8">
      <w:pPr>
        <w:spacing w:line="288" w:lineRule="auto"/>
        <w:jc w:val="center"/>
      </w:pPr>
      <w:r>
        <w:t>The supplemental data presented below is a reconciliation of certain financial measures which is intended</w:t>
      </w:r>
    </w:p>
    <w:p w:rsidR="005E0D39" w:rsidRDefault="00DF02D8">
      <w:pPr>
        <w:spacing w:after="180" w:line="288" w:lineRule="auto"/>
        <w:jc w:val="center"/>
      </w:pPr>
      <w:proofErr w:type="gramStart"/>
      <w:r>
        <w:t>to</w:t>
      </w:r>
      <w:proofErr w:type="gramEnd"/>
      <w:r>
        <w:t xml:space="preserve"> facilitate analysis of American Axle &amp; Manufacturing Holdings, Inc. business and operating performance.</w:t>
      </w:r>
    </w:p>
    <w:p w:rsidR="005E0D39" w:rsidRDefault="005E0D39">
      <w:pPr>
        <w:spacing w:line="288" w:lineRule="auto"/>
        <w:jc w:val="center"/>
        <w:rPr>
          <w:b/>
        </w:rPr>
      </w:pPr>
    </w:p>
    <w:p w:rsidR="005E0D39" w:rsidRDefault="00DF02D8">
      <w:pPr>
        <w:spacing w:after="140"/>
        <w:jc w:val="center"/>
        <w:rPr>
          <w:b/>
        </w:rPr>
      </w:pPr>
      <w:r>
        <w:rPr>
          <w:b/>
        </w:rPr>
        <w:t xml:space="preserve">Free Cash </w:t>
      </w:r>
      <w:proofErr w:type="gramStart"/>
      <w:r>
        <w:rPr>
          <w:b/>
        </w:rPr>
        <w:t>Flow</w:t>
      </w:r>
      <w:r>
        <w:rPr>
          <w:b/>
          <w:sz w:val="16"/>
          <w:vertAlign w:val="superscript"/>
        </w:rPr>
        <w:t>(</w:t>
      </w:r>
      <w:proofErr w:type="gramEnd"/>
      <w:r>
        <w:rPr>
          <w:b/>
          <w:sz w:val="16"/>
          <w:vertAlign w:val="superscript"/>
        </w:rPr>
        <w:t>f)</w:t>
      </w:r>
    </w:p>
    <w:tbl>
      <w:tblPr>
        <w:tblW w:w="9620" w:type="dxa"/>
        <w:jc w:val="center"/>
        <w:tblLayout w:type="fixed"/>
        <w:tblCellMar>
          <w:left w:w="10" w:type="dxa"/>
          <w:right w:w="10" w:type="dxa"/>
        </w:tblCellMar>
        <w:tblLook w:val="04A0" w:firstRow="1" w:lastRow="0" w:firstColumn="1" w:lastColumn="0" w:noHBand="0" w:noVBand="1"/>
      </w:tblPr>
      <w:tblGrid>
        <w:gridCol w:w="4300"/>
        <w:gridCol w:w="110"/>
        <w:gridCol w:w="1113"/>
        <w:gridCol w:w="77"/>
        <w:gridCol w:w="80"/>
        <w:gridCol w:w="110"/>
        <w:gridCol w:w="1073"/>
        <w:gridCol w:w="77"/>
        <w:gridCol w:w="100"/>
        <w:gridCol w:w="110"/>
        <w:gridCol w:w="1053"/>
        <w:gridCol w:w="77"/>
        <w:gridCol w:w="80"/>
        <w:gridCol w:w="110"/>
        <w:gridCol w:w="1073"/>
        <w:gridCol w:w="77"/>
      </w:tblGrid>
      <w:tr w:rsidR="007070F7" w:rsidTr="007070F7">
        <w:trPr>
          <w:trHeight w:hRule="exact" w:val="30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Three Months Ended</w:t>
            </w:r>
          </w:p>
        </w:tc>
        <w:tc>
          <w:tcPr>
            <w:tcW w:w="100" w:type="dxa"/>
            <w:tcMar>
              <w:left w:w="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b/>
              </w:rPr>
            </w:pPr>
            <w:r>
              <w:rPr>
                <w:b/>
                <w:color w:val="000000"/>
              </w:rPr>
              <w:t>Nine Months Ended</w:t>
            </w:r>
          </w:p>
        </w:tc>
      </w:tr>
      <w:tr w:rsidR="007070F7" w:rsidTr="007070F7">
        <w:trPr>
          <w:trHeight w:hRule="exact" w:val="30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c>
          <w:tcPr>
            <w:tcW w:w="100" w:type="dxa"/>
            <w:tcMar>
              <w:left w:w="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September 30,</w:t>
            </w:r>
          </w:p>
        </w:tc>
      </w:tr>
      <w:tr w:rsidR="007070F7" w:rsidTr="007070F7">
        <w:trPr>
          <w:trHeight w:hRule="exact" w:val="24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c>
          <w:tcPr>
            <w:tcW w:w="10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2016</w:t>
            </w:r>
          </w:p>
        </w:tc>
        <w:tc>
          <w:tcPr>
            <w:tcW w:w="80" w:type="dxa"/>
            <w:tcMar>
              <w:left w:w="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2015</w:t>
            </w:r>
          </w:p>
        </w:tc>
      </w:tr>
      <w:tr w:rsidR="007070F7" w:rsidTr="007070F7">
        <w:trPr>
          <w:trHeight w:hRule="exact" w:val="24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c>
          <w:tcPr>
            <w:tcW w:w="100" w:type="dxa"/>
            <w:tcMar>
              <w:left w:w="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w:t>
            </w:r>
          </w:p>
        </w:tc>
      </w:tr>
      <w:tr w:rsidR="007070F7" w:rsidTr="007070F7">
        <w:trPr>
          <w:trHeight w:hRule="exact" w:val="28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4300" w:type="dxa"/>
            <w:tcMar>
              <w:left w:w="60" w:type="dxa"/>
              <w:right w:w="40" w:type="dxa"/>
            </w:tcMar>
            <w:vAlign w:val="bottom"/>
          </w:tcPr>
          <w:p w:rsidR="005E0D39" w:rsidRDefault="00DF02D8">
            <w:pPr>
              <w:keepNext/>
              <w:keepLines/>
              <w:spacing w:before="40" w:after="40"/>
            </w:pPr>
            <w:r>
              <w:rPr>
                <w:color w:val="000000"/>
              </w:rPr>
              <w:t>Net cash provided by operating activities</w:t>
            </w: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113" w:type="dxa"/>
            <w:tcMar>
              <w:left w:w="0" w:type="dxa"/>
              <w:right w:w="0" w:type="dxa"/>
            </w:tcMar>
            <w:vAlign w:val="bottom"/>
          </w:tcPr>
          <w:p w:rsidR="005E0D39" w:rsidRDefault="00DF02D8">
            <w:pPr>
              <w:keepNext/>
              <w:keepLines/>
              <w:spacing w:before="40" w:after="40"/>
              <w:jc w:val="right"/>
              <w:rPr>
                <w:b/>
              </w:rPr>
            </w:pPr>
            <w:r>
              <w:rPr>
                <w:b/>
                <w:color w:val="000000"/>
              </w:rPr>
              <w:t>107.5</w:t>
            </w:r>
          </w:p>
        </w:tc>
        <w:tc>
          <w:tcPr>
            <w:tcW w:w="77" w:type="dxa"/>
            <w:tcMar>
              <w:left w:w="0" w:type="dxa"/>
              <w:right w:w="0" w:type="dxa"/>
            </w:tcMar>
          </w:tcPr>
          <w:p w:rsidR="005E0D39" w:rsidRDefault="005E0D39"/>
        </w:tc>
        <w:tc>
          <w:tcPr>
            <w:tcW w:w="8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073" w:type="dxa"/>
            <w:tcMar>
              <w:left w:w="0" w:type="dxa"/>
              <w:right w:w="0" w:type="dxa"/>
            </w:tcMar>
            <w:vAlign w:val="bottom"/>
          </w:tcPr>
          <w:p w:rsidR="005E0D39" w:rsidRDefault="00DF02D8">
            <w:pPr>
              <w:keepNext/>
              <w:keepLines/>
              <w:spacing w:before="40" w:after="40"/>
              <w:jc w:val="right"/>
            </w:pPr>
            <w:r>
              <w:rPr>
                <w:color w:val="000000"/>
              </w:rPr>
              <w:t>113.8</w:t>
            </w:r>
          </w:p>
        </w:tc>
        <w:tc>
          <w:tcPr>
            <w:tcW w:w="77" w:type="dxa"/>
            <w:tcMar>
              <w:left w:w="0" w:type="dxa"/>
              <w:right w:w="0" w:type="dxa"/>
            </w:tcMar>
          </w:tcPr>
          <w:p w:rsidR="005E0D39" w:rsidRDefault="005E0D39"/>
        </w:tc>
        <w:tc>
          <w:tcPr>
            <w:tcW w:w="10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rPr>
                <w:b/>
              </w:rPr>
            </w:pPr>
            <w:r>
              <w:rPr>
                <w:b/>
                <w:color w:val="000000"/>
              </w:rPr>
              <w:t>$</w:t>
            </w:r>
          </w:p>
        </w:tc>
        <w:tc>
          <w:tcPr>
            <w:tcW w:w="1053" w:type="dxa"/>
            <w:tcMar>
              <w:left w:w="0" w:type="dxa"/>
              <w:right w:w="0" w:type="dxa"/>
            </w:tcMar>
            <w:vAlign w:val="bottom"/>
          </w:tcPr>
          <w:p w:rsidR="005E0D39" w:rsidRDefault="00DF02D8">
            <w:pPr>
              <w:keepNext/>
              <w:keepLines/>
              <w:spacing w:before="40" w:after="40"/>
              <w:jc w:val="right"/>
              <w:rPr>
                <w:b/>
              </w:rPr>
            </w:pPr>
            <w:r>
              <w:rPr>
                <w:b/>
                <w:color w:val="000000"/>
              </w:rPr>
              <w:t>291.0</w:t>
            </w:r>
          </w:p>
        </w:tc>
        <w:tc>
          <w:tcPr>
            <w:tcW w:w="77" w:type="dxa"/>
            <w:tcMar>
              <w:left w:w="0" w:type="dxa"/>
              <w:right w:w="0" w:type="dxa"/>
            </w:tcMar>
          </w:tcPr>
          <w:p w:rsidR="005E0D39" w:rsidRDefault="005E0D39"/>
        </w:tc>
        <w:tc>
          <w:tcPr>
            <w:tcW w:w="8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073" w:type="dxa"/>
            <w:tcMar>
              <w:left w:w="0" w:type="dxa"/>
              <w:right w:w="0" w:type="dxa"/>
            </w:tcMar>
            <w:vAlign w:val="bottom"/>
          </w:tcPr>
          <w:p w:rsidR="005E0D39" w:rsidRDefault="00DF02D8">
            <w:pPr>
              <w:keepNext/>
              <w:keepLines/>
              <w:spacing w:before="40" w:after="40"/>
              <w:jc w:val="right"/>
            </w:pPr>
            <w:r>
              <w:rPr>
                <w:color w:val="000000"/>
              </w:rPr>
              <w:t>268.1</w:t>
            </w:r>
          </w:p>
        </w:tc>
        <w:tc>
          <w:tcPr>
            <w:tcW w:w="77" w:type="dxa"/>
            <w:tcMar>
              <w:left w:w="0" w:type="dxa"/>
              <w:right w:w="0" w:type="dxa"/>
            </w:tcMar>
          </w:tcPr>
          <w:p w:rsidR="005E0D39" w:rsidRDefault="005E0D39"/>
        </w:tc>
      </w:tr>
      <w:tr w:rsidR="007070F7" w:rsidTr="007070F7">
        <w:trPr>
          <w:trHeight w:hRule="exact" w:val="80"/>
          <w:jc w:val="center"/>
        </w:trPr>
        <w:tc>
          <w:tcPr>
            <w:tcW w:w="4300" w:type="dxa"/>
            <w:tcMar>
              <w:left w:w="60" w:type="dxa"/>
              <w:right w:w="0" w:type="dxa"/>
            </w:tcMar>
            <w:vAlign w:val="bottom"/>
          </w:tcPr>
          <w:p w:rsidR="005E0D39" w:rsidRDefault="005E0D39">
            <w:pPr>
              <w:keepNext/>
              <w:keepLines/>
            </w:pPr>
          </w:p>
        </w:tc>
        <w:tc>
          <w:tcPr>
            <w:tcW w:w="0" w:type="dxa"/>
            <w:gridSpan w:val="3"/>
            <w:tcMar>
              <w:left w:w="60" w:type="dxa"/>
              <w:right w:w="0" w:type="dxa"/>
            </w:tcMar>
            <w:vAlign w:val="bottom"/>
          </w:tcPr>
          <w:p w:rsidR="005E0D39" w:rsidRDefault="005E0D39">
            <w:pPr>
              <w:keepNext/>
              <w:keepLines/>
            </w:pPr>
          </w:p>
        </w:tc>
        <w:tc>
          <w:tcPr>
            <w:tcW w:w="80" w:type="dxa"/>
            <w:tcMar>
              <w:left w:w="60" w:type="dxa"/>
              <w:right w:w="0" w:type="dxa"/>
            </w:tcMar>
            <w:vAlign w:val="bottom"/>
          </w:tcPr>
          <w:p w:rsidR="005E0D39" w:rsidRDefault="005E0D39">
            <w:pPr>
              <w:keepNext/>
              <w:keepLines/>
            </w:pPr>
          </w:p>
        </w:tc>
        <w:tc>
          <w:tcPr>
            <w:tcW w:w="0" w:type="dxa"/>
            <w:gridSpan w:val="3"/>
            <w:tcMar>
              <w:left w:w="60" w:type="dxa"/>
              <w:right w:w="0" w:type="dxa"/>
            </w:tcMar>
            <w:vAlign w:val="bottom"/>
          </w:tcPr>
          <w:p w:rsidR="005E0D39" w:rsidRDefault="005E0D39">
            <w:pPr>
              <w:keepNext/>
              <w:keepLines/>
            </w:pPr>
          </w:p>
        </w:tc>
        <w:tc>
          <w:tcPr>
            <w:tcW w:w="100" w:type="dxa"/>
            <w:tcMar>
              <w:left w:w="60" w:type="dxa"/>
              <w:right w:w="0" w:type="dxa"/>
            </w:tcMar>
            <w:vAlign w:val="bottom"/>
          </w:tcPr>
          <w:p w:rsidR="005E0D39" w:rsidRDefault="005E0D39">
            <w:pPr>
              <w:keepNext/>
              <w:keepLines/>
            </w:pPr>
          </w:p>
        </w:tc>
        <w:tc>
          <w:tcPr>
            <w:tcW w:w="0" w:type="dxa"/>
            <w:gridSpan w:val="3"/>
            <w:tcMar>
              <w:left w:w="60" w:type="dxa"/>
              <w:right w:w="0" w:type="dxa"/>
            </w:tcMar>
            <w:vAlign w:val="bottom"/>
          </w:tcPr>
          <w:p w:rsidR="005E0D39" w:rsidRDefault="005E0D39">
            <w:pPr>
              <w:keepNext/>
              <w:keepLines/>
            </w:pPr>
          </w:p>
        </w:tc>
        <w:tc>
          <w:tcPr>
            <w:tcW w:w="80" w:type="dxa"/>
            <w:tcMar>
              <w:left w:w="60" w:type="dxa"/>
              <w:right w:w="0" w:type="dxa"/>
            </w:tcMar>
            <w:vAlign w:val="bottom"/>
          </w:tcPr>
          <w:p w:rsidR="005E0D39" w:rsidRDefault="005E0D39">
            <w:pPr>
              <w:keepNext/>
              <w:keepLines/>
            </w:pPr>
          </w:p>
        </w:tc>
        <w:tc>
          <w:tcPr>
            <w:tcW w:w="0" w:type="dxa"/>
            <w:gridSpan w:val="3"/>
            <w:tcMar>
              <w:left w:w="60" w:type="dxa"/>
              <w:right w:w="0" w:type="dxa"/>
            </w:tcMar>
            <w:vAlign w:val="bottom"/>
          </w:tcPr>
          <w:p w:rsidR="005E0D39" w:rsidRDefault="005E0D39">
            <w:pPr>
              <w:keepNext/>
              <w:keepLines/>
            </w:pPr>
          </w:p>
        </w:tc>
      </w:tr>
      <w:tr w:rsidR="007070F7" w:rsidTr="007070F7">
        <w:trPr>
          <w:trHeight w:hRule="exact" w:val="700"/>
          <w:jc w:val="center"/>
        </w:trPr>
        <w:tc>
          <w:tcPr>
            <w:tcW w:w="4300" w:type="dxa"/>
            <w:tcMar>
              <w:left w:w="60" w:type="dxa"/>
              <w:right w:w="40" w:type="dxa"/>
            </w:tcMar>
            <w:vAlign w:val="bottom"/>
          </w:tcPr>
          <w:p w:rsidR="005E0D39" w:rsidRDefault="00DF02D8">
            <w:pPr>
              <w:keepNext/>
              <w:keepLines/>
              <w:spacing w:before="40" w:after="40"/>
            </w:pPr>
            <w:r>
              <w:rPr>
                <w:color w:val="000000"/>
              </w:rPr>
              <w:t>Less: Purchases of property, plant and equipment, net of proceeds from sale of property, plant and equipment and government grants</w:t>
            </w:r>
          </w:p>
        </w:tc>
        <w:tc>
          <w:tcPr>
            <w:tcW w:w="122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(52.9</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11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(40.6</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100" w:type="dxa"/>
            <w:tcMar>
              <w:left w:w="60" w:type="dxa"/>
              <w:right w:w="0" w:type="dxa"/>
            </w:tcMar>
            <w:vAlign w:val="bottom"/>
          </w:tcPr>
          <w:p w:rsidR="005E0D39" w:rsidRDefault="005E0D39">
            <w:pPr>
              <w:keepNext/>
              <w:keepLines/>
              <w:spacing w:before="40" w:after="40"/>
            </w:pPr>
          </w:p>
        </w:tc>
        <w:tc>
          <w:tcPr>
            <w:tcW w:w="1163" w:type="dxa"/>
            <w:gridSpan w:val="2"/>
            <w:tcBorders>
              <w:bottom w:val="single" w:sz="8" w:space="0" w:color="auto"/>
            </w:tcBorders>
            <w:tcMar>
              <w:left w:w="0" w:type="dxa"/>
              <w:right w:w="0" w:type="dxa"/>
            </w:tcMar>
            <w:vAlign w:val="bottom"/>
          </w:tcPr>
          <w:p w:rsidR="005E0D39" w:rsidRDefault="00DF02D8">
            <w:pPr>
              <w:keepNext/>
              <w:keepLines/>
              <w:spacing w:before="40" w:after="40"/>
              <w:jc w:val="right"/>
              <w:rPr>
                <w:b/>
              </w:rPr>
            </w:pPr>
            <w:r>
              <w:rPr>
                <w:b/>
                <w:color w:val="000000"/>
              </w:rPr>
              <w:t>(155.2</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rPr>
                <w:b/>
              </w:rPr>
            </w:pPr>
            <w:r>
              <w:rPr>
                <w:b/>
                <w:color w:val="000000"/>
              </w:rPr>
              <w:t>)</w:t>
            </w:r>
          </w:p>
        </w:tc>
        <w:tc>
          <w:tcPr>
            <w:tcW w:w="80" w:type="dxa"/>
            <w:tcMar>
              <w:left w:w="60" w:type="dxa"/>
              <w:right w:w="0" w:type="dxa"/>
            </w:tcMar>
            <w:vAlign w:val="bottom"/>
          </w:tcPr>
          <w:p w:rsidR="005E0D39" w:rsidRDefault="005E0D39">
            <w:pPr>
              <w:keepNext/>
              <w:keepLines/>
              <w:spacing w:before="40" w:after="40"/>
            </w:pPr>
          </w:p>
        </w:tc>
        <w:tc>
          <w:tcPr>
            <w:tcW w:w="11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(131.9</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r>
      <w:tr w:rsidR="007070F7" w:rsidTr="007070F7">
        <w:trPr>
          <w:trHeight w:hRule="exact" w:val="100"/>
          <w:jc w:val="center"/>
        </w:trPr>
        <w:tc>
          <w:tcPr>
            <w:tcW w:w="43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10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8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4300" w:type="dxa"/>
            <w:tcMar>
              <w:left w:w="60" w:type="dxa"/>
              <w:right w:w="40" w:type="dxa"/>
            </w:tcMar>
            <w:vAlign w:val="bottom"/>
          </w:tcPr>
          <w:p w:rsidR="005E0D39" w:rsidRDefault="00DF02D8">
            <w:pPr>
              <w:keepLines/>
              <w:spacing w:before="40" w:after="40"/>
              <w:rPr>
                <w:b/>
              </w:rPr>
            </w:pPr>
            <w:r>
              <w:rPr>
                <w:b/>
                <w:color w:val="000000"/>
              </w:rPr>
              <w:t>Free cash flow</w:t>
            </w: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11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54.6</w:t>
            </w:r>
          </w:p>
        </w:tc>
        <w:tc>
          <w:tcPr>
            <w:tcW w:w="77" w:type="dxa"/>
            <w:tcBorders>
              <w:bottom w:val="double" w:sz="4" w:space="0" w:color="auto"/>
            </w:tcBorders>
            <w:tcMar>
              <w:left w:w="0" w:type="dxa"/>
              <w:right w:w="0" w:type="dxa"/>
            </w:tcMar>
          </w:tcPr>
          <w:p w:rsidR="005E0D39" w:rsidRDefault="005E0D39"/>
        </w:tc>
        <w:tc>
          <w:tcPr>
            <w:tcW w:w="80" w:type="dxa"/>
            <w:tcMar>
              <w:left w:w="60" w:type="dxa"/>
              <w:right w:w="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pPr>
            <w:r>
              <w:rPr>
                <w:color w:val="000000"/>
              </w:rPr>
              <w:t>$</w:t>
            </w:r>
          </w:p>
        </w:tc>
        <w:tc>
          <w:tcPr>
            <w:tcW w:w="1073"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73.2</w:t>
            </w:r>
          </w:p>
        </w:tc>
        <w:tc>
          <w:tcPr>
            <w:tcW w:w="77" w:type="dxa"/>
            <w:tcBorders>
              <w:bottom w:val="double" w:sz="4" w:space="0" w:color="auto"/>
            </w:tcBorders>
            <w:tcMar>
              <w:left w:w="0" w:type="dxa"/>
              <w:right w:w="0" w:type="dxa"/>
            </w:tcMar>
          </w:tcPr>
          <w:p w:rsidR="005E0D39" w:rsidRDefault="005E0D39"/>
        </w:tc>
        <w:tc>
          <w:tcPr>
            <w:tcW w:w="100" w:type="dxa"/>
            <w:tcMar>
              <w:left w:w="0" w:type="dxa"/>
              <w:right w:w="6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rPr>
                <w:b/>
              </w:rPr>
            </w:pPr>
            <w:r>
              <w:rPr>
                <w:b/>
                <w:color w:val="000000"/>
              </w:rPr>
              <w:t>$</w:t>
            </w:r>
          </w:p>
        </w:tc>
        <w:tc>
          <w:tcPr>
            <w:tcW w:w="1053" w:type="dxa"/>
            <w:tcBorders>
              <w:bottom w:val="double" w:sz="4" w:space="0" w:color="auto"/>
            </w:tcBorders>
            <w:tcMar>
              <w:left w:w="0" w:type="dxa"/>
              <w:right w:w="0" w:type="dxa"/>
            </w:tcMar>
            <w:vAlign w:val="bottom"/>
          </w:tcPr>
          <w:p w:rsidR="005E0D39" w:rsidRDefault="00DF02D8">
            <w:pPr>
              <w:keepLines/>
              <w:spacing w:before="40" w:after="40"/>
              <w:jc w:val="right"/>
              <w:rPr>
                <w:b/>
              </w:rPr>
            </w:pPr>
            <w:r>
              <w:rPr>
                <w:b/>
                <w:color w:val="000000"/>
              </w:rPr>
              <w:t>135.8</w:t>
            </w:r>
          </w:p>
        </w:tc>
        <w:tc>
          <w:tcPr>
            <w:tcW w:w="77" w:type="dxa"/>
            <w:tcBorders>
              <w:bottom w:val="double" w:sz="4" w:space="0" w:color="auto"/>
            </w:tcBorders>
            <w:tcMar>
              <w:left w:w="0" w:type="dxa"/>
              <w:right w:w="0" w:type="dxa"/>
            </w:tcMar>
          </w:tcPr>
          <w:p w:rsidR="005E0D39" w:rsidRDefault="005E0D39"/>
        </w:tc>
        <w:tc>
          <w:tcPr>
            <w:tcW w:w="80" w:type="dxa"/>
            <w:tcMar>
              <w:left w:w="0" w:type="dxa"/>
              <w:right w:w="60" w:type="dxa"/>
            </w:tcMar>
            <w:vAlign w:val="bottom"/>
          </w:tcPr>
          <w:p w:rsidR="005E0D39" w:rsidRDefault="005E0D39">
            <w:pPr>
              <w:keepLines/>
              <w:spacing w:before="40" w:after="40"/>
            </w:pPr>
          </w:p>
        </w:tc>
        <w:tc>
          <w:tcPr>
            <w:tcW w:w="110" w:type="dxa"/>
            <w:tcBorders>
              <w:bottom w:val="double" w:sz="4" w:space="0" w:color="auto"/>
            </w:tcBorders>
            <w:tcMar>
              <w:left w:w="0" w:type="dxa"/>
              <w:right w:w="0" w:type="dxa"/>
            </w:tcMar>
            <w:vAlign w:val="bottom"/>
          </w:tcPr>
          <w:p w:rsidR="005E0D39" w:rsidRDefault="00DF02D8">
            <w:pPr>
              <w:keepLines/>
              <w:spacing w:before="40" w:after="40"/>
            </w:pPr>
            <w:r>
              <w:rPr>
                <w:color w:val="000000"/>
              </w:rPr>
              <w:t>$</w:t>
            </w:r>
          </w:p>
        </w:tc>
        <w:tc>
          <w:tcPr>
            <w:tcW w:w="1073"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136.2</w:t>
            </w:r>
          </w:p>
        </w:tc>
        <w:tc>
          <w:tcPr>
            <w:tcW w:w="77" w:type="dxa"/>
            <w:tcBorders>
              <w:bottom w:val="double" w:sz="4" w:space="0" w:color="auto"/>
            </w:tcBorders>
            <w:tcMar>
              <w:left w:w="0" w:type="dxa"/>
              <w:right w:w="0" w:type="dxa"/>
            </w:tcMar>
          </w:tcPr>
          <w:p w:rsidR="005E0D39" w:rsidRDefault="005E0D39"/>
        </w:tc>
      </w:tr>
    </w:tbl>
    <w:p w:rsidR="005E0D39" w:rsidRDefault="005E0D39">
      <w:pPr>
        <w:spacing w:before="60" w:line="288" w:lineRule="auto"/>
        <w:jc w:val="center"/>
        <w:rPr>
          <w:b/>
        </w:rPr>
      </w:pPr>
    </w:p>
    <w:p w:rsidR="005E0D39" w:rsidRDefault="00DF02D8">
      <w:pPr>
        <w:spacing w:after="140"/>
        <w:jc w:val="center"/>
        <w:rPr>
          <w:b/>
        </w:rPr>
      </w:pPr>
      <w:r>
        <w:rPr>
          <w:b/>
        </w:rPr>
        <w:t>Full Year 2016 Outlook</w:t>
      </w:r>
    </w:p>
    <w:tbl>
      <w:tblPr>
        <w:tblW w:w="8000" w:type="dxa"/>
        <w:jc w:val="center"/>
        <w:tblLayout w:type="fixed"/>
        <w:tblCellMar>
          <w:left w:w="10" w:type="dxa"/>
          <w:right w:w="10" w:type="dxa"/>
        </w:tblCellMar>
        <w:tblLook w:val="04A0" w:firstRow="1" w:lastRow="0" w:firstColumn="1" w:lastColumn="0" w:noHBand="0" w:noVBand="1"/>
      </w:tblPr>
      <w:tblGrid>
        <w:gridCol w:w="4640"/>
        <w:gridCol w:w="110"/>
        <w:gridCol w:w="833"/>
        <w:gridCol w:w="177"/>
        <w:gridCol w:w="1120"/>
        <w:gridCol w:w="110"/>
        <w:gridCol w:w="833"/>
        <w:gridCol w:w="177"/>
      </w:tblGrid>
      <w:tr w:rsidR="007070F7" w:rsidTr="007070F7">
        <w:trPr>
          <w:trHeight w:hRule="exact" w:val="30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7"/>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Adjusted EBITDA Margin</w:t>
            </w:r>
          </w:p>
        </w:tc>
      </w:tr>
      <w:tr w:rsidR="007070F7" w:rsidTr="007070F7">
        <w:trPr>
          <w:trHeight w:hRule="exact" w:val="24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Low End</w:t>
            </w:r>
          </w:p>
        </w:tc>
        <w:tc>
          <w:tcPr>
            <w:tcW w:w="1120" w:type="dxa"/>
            <w:tcMar>
              <w:left w:w="60" w:type="dxa"/>
              <w:right w:w="60" w:type="dxa"/>
            </w:tcMar>
            <w:vAlign w:val="bottom"/>
          </w:tcPr>
          <w:p w:rsidR="005E0D39" w:rsidRDefault="005E0D39">
            <w:pPr>
              <w:keepNext/>
              <w:keepLines/>
              <w:spacing w:before="40" w:after="40"/>
            </w:pPr>
          </w:p>
        </w:tc>
        <w:tc>
          <w:tcPr>
            <w:tcW w:w="0" w:type="dxa"/>
            <w:gridSpan w:val="3"/>
            <w:tcBorders>
              <w:bottom w:val="single" w:sz="8" w:space="0" w:color="auto"/>
            </w:tcBorders>
            <w:tcMar>
              <w:left w:w="60" w:type="dxa"/>
              <w:right w:w="60" w:type="dxa"/>
            </w:tcMar>
            <w:vAlign w:val="bottom"/>
          </w:tcPr>
          <w:p w:rsidR="005E0D39" w:rsidRDefault="00DF02D8">
            <w:pPr>
              <w:keepNext/>
              <w:keepLines/>
              <w:spacing w:before="40" w:after="40"/>
              <w:jc w:val="center"/>
              <w:rPr>
                <w:b/>
              </w:rPr>
            </w:pPr>
            <w:r>
              <w:rPr>
                <w:b/>
                <w:color w:val="000000"/>
              </w:rPr>
              <w:t>High End</w:t>
            </w:r>
          </w:p>
        </w:tc>
      </w:tr>
      <w:tr w:rsidR="007070F7" w:rsidTr="007070F7">
        <w:trPr>
          <w:trHeight w:hRule="exact" w:val="24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7"/>
            <w:tcMar>
              <w:left w:w="60" w:type="dxa"/>
              <w:right w:w="60" w:type="dxa"/>
            </w:tcMar>
            <w:vAlign w:val="bottom"/>
          </w:tcPr>
          <w:p w:rsidR="005E0D39" w:rsidRDefault="00DF02D8">
            <w:pPr>
              <w:keepNext/>
              <w:keepLines/>
              <w:spacing w:before="40" w:after="40"/>
              <w:jc w:val="center"/>
              <w:rPr>
                <w:i/>
              </w:rPr>
            </w:pPr>
            <w:r>
              <w:rPr>
                <w:i/>
                <w:color w:val="000000"/>
              </w:rPr>
              <w:t>(in millions, except percentages)</w:t>
            </w:r>
          </w:p>
        </w:tc>
      </w:tr>
      <w:tr w:rsidR="007070F7" w:rsidTr="007070F7">
        <w:trPr>
          <w:trHeight w:hRule="exact" w:val="28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4640" w:type="dxa"/>
            <w:tcMar>
              <w:left w:w="60" w:type="dxa"/>
              <w:right w:w="40" w:type="dxa"/>
            </w:tcMar>
            <w:vAlign w:val="bottom"/>
          </w:tcPr>
          <w:p w:rsidR="005E0D39" w:rsidRDefault="00DF02D8">
            <w:pPr>
              <w:keepNext/>
              <w:keepLines/>
              <w:spacing w:before="40" w:after="40"/>
            </w:pPr>
            <w:r>
              <w:rPr>
                <w:color w:val="000000"/>
              </w:rPr>
              <w:t>Net income</w:t>
            </w: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235</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245</w:t>
            </w:r>
          </w:p>
        </w:tc>
        <w:tc>
          <w:tcPr>
            <w:tcW w:w="177" w:type="dxa"/>
            <w:tcMar>
              <w:left w:w="0" w:type="dxa"/>
              <w:right w:w="0" w:type="dxa"/>
            </w:tcMar>
          </w:tcPr>
          <w:p w:rsidR="005E0D39" w:rsidRDefault="005E0D39"/>
        </w:tc>
      </w:tr>
      <w:tr w:rsidR="007070F7" w:rsidTr="007070F7">
        <w:trPr>
          <w:trHeight w:hRule="exact" w:val="280"/>
          <w:jc w:val="center"/>
        </w:trPr>
        <w:tc>
          <w:tcPr>
            <w:tcW w:w="4640" w:type="dxa"/>
            <w:tcMar>
              <w:left w:w="60" w:type="dxa"/>
              <w:right w:w="40" w:type="dxa"/>
            </w:tcMar>
            <w:vAlign w:val="bottom"/>
          </w:tcPr>
          <w:p w:rsidR="005E0D39" w:rsidRDefault="00DF02D8">
            <w:pPr>
              <w:keepNext/>
              <w:keepLines/>
              <w:spacing w:before="40" w:after="40"/>
            </w:pPr>
            <w:r>
              <w:rPr>
                <w:color w:val="000000"/>
              </w:rPr>
              <w:t>Income tax expense</w:t>
            </w:r>
          </w:p>
        </w:tc>
        <w:tc>
          <w:tcPr>
            <w:tcW w:w="943" w:type="dxa"/>
            <w:gridSpan w:val="2"/>
            <w:tcMar>
              <w:left w:w="0" w:type="dxa"/>
              <w:right w:w="0" w:type="dxa"/>
            </w:tcMar>
            <w:vAlign w:val="bottom"/>
          </w:tcPr>
          <w:p w:rsidR="005E0D39" w:rsidRDefault="00DF02D8">
            <w:pPr>
              <w:keepNext/>
              <w:keepLines/>
              <w:spacing w:before="40" w:after="40"/>
              <w:jc w:val="right"/>
            </w:pPr>
            <w:r>
              <w:rPr>
                <w:color w:val="000000"/>
              </w:rPr>
              <w:t>65</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943" w:type="dxa"/>
            <w:gridSpan w:val="2"/>
            <w:tcMar>
              <w:left w:w="0" w:type="dxa"/>
              <w:right w:w="0" w:type="dxa"/>
            </w:tcMar>
            <w:vAlign w:val="bottom"/>
          </w:tcPr>
          <w:p w:rsidR="005E0D39" w:rsidRDefault="00DF02D8">
            <w:pPr>
              <w:keepNext/>
              <w:keepLines/>
              <w:spacing w:before="40" w:after="40"/>
              <w:jc w:val="right"/>
            </w:pPr>
            <w:r>
              <w:rPr>
                <w:color w:val="000000"/>
              </w:rPr>
              <w:t>65</w:t>
            </w:r>
          </w:p>
        </w:tc>
        <w:tc>
          <w:tcPr>
            <w:tcW w:w="177" w:type="dxa"/>
            <w:tcMar>
              <w:left w:w="0" w:type="dxa"/>
              <w:right w:w="0" w:type="dxa"/>
            </w:tcMar>
          </w:tcPr>
          <w:p w:rsidR="005E0D39" w:rsidRDefault="005E0D39"/>
        </w:tc>
      </w:tr>
      <w:tr w:rsidR="007070F7" w:rsidTr="007070F7">
        <w:trPr>
          <w:trHeight w:hRule="exact" w:val="280"/>
          <w:jc w:val="center"/>
        </w:trPr>
        <w:tc>
          <w:tcPr>
            <w:tcW w:w="4640" w:type="dxa"/>
            <w:tcMar>
              <w:left w:w="60" w:type="dxa"/>
              <w:right w:w="40" w:type="dxa"/>
            </w:tcMar>
            <w:vAlign w:val="bottom"/>
          </w:tcPr>
          <w:p w:rsidR="005E0D39" w:rsidRDefault="00DF02D8">
            <w:pPr>
              <w:keepNext/>
              <w:keepLines/>
              <w:spacing w:before="40" w:after="40"/>
            </w:pPr>
            <w:r>
              <w:rPr>
                <w:color w:val="000000"/>
              </w:rPr>
              <w:t>Interest expense</w:t>
            </w:r>
          </w:p>
        </w:tc>
        <w:tc>
          <w:tcPr>
            <w:tcW w:w="943" w:type="dxa"/>
            <w:gridSpan w:val="2"/>
            <w:tcMar>
              <w:left w:w="0" w:type="dxa"/>
              <w:right w:w="0" w:type="dxa"/>
            </w:tcMar>
            <w:vAlign w:val="bottom"/>
          </w:tcPr>
          <w:p w:rsidR="005E0D39" w:rsidRDefault="00DF02D8">
            <w:pPr>
              <w:keepNext/>
              <w:keepLines/>
              <w:spacing w:before="40" w:after="40"/>
              <w:jc w:val="right"/>
            </w:pPr>
            <w:r>
              <w:rPr>
                <w:color w:val="000000"/>
              </w:rPr>
              <w:t>94</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943" w:type="dxa"/>
            <w:gridSpan w:val="2"/>
            <w:tcMar>
              <w:left w:w="0" w:type="dxa"/>
              <w:right w:w="0" w:type="dxa"/>
            </w:tcMar>
            <w:vAlign w:val="bottom"/>
          </w:tcPr>
          <w:p w:rsidR="005E0D39" w:rsidRDefault="00DF02D8">
            <w:pPr>
              <w:keepNext/>
              <w:keepLines/>
              <w:spacing w:before="40" w:after="40"/>
              <w:jc w:val="right"/>
            </w:pPr>
            <w:r>
              <w:rPr>
                <w:color w:val="000000"/>
              </w:rPr>
              <w:t>94</w:t>
            </w:r>
          </w:p>
        </w:tc>
        <w:tc>
          <w:tcPr>
            <w:tcW w:w="177" w:type="dxa"/>
            <w:tcMar>
              <w:left w:w="0" w:type="dxa"/>
              <w:right w:w="0" w:type="dxa"/>
            </w:tcMar>
          </w:tcPr>
          <w:p w:rsidR="005E0D39" w:rsidRDefault="005E0D39"/>
        </w:tc>
      </w:tr>
      <w:tr w:rsidR="007070F7" w:rsidTr="007070F7">
        <w:trPr>
          <w:trHeight w:hRule="exact" w:val="300"/>
          <w:jc w:val="center"/>
        </w:trPr>
        <w:tc>
          <w:tcPr>
            <w:tcW w:w="4640" w:type="dxa"/>
            <w:tcMar>
              <w:left w:w="60" w:type="dxa"/>
              <w:right w:w="40" w:type="dxa"/>
            </w:tcMar>
            <w:vAlign w:val="bottom"/>
          </w:tcPr>
          <w:p w:rsidR="005E0D39" w:rsidRDefault="00DF02D8">
            <w:pPr>
              <w:keepNext/>
              <w:keepLines/>
              <w:spacing w:before="40" w:after="40"/>
            </w:pPr>
            <w:r>
              <w:rPr>
                <w:color w:val="000000"/>
              </w:rPr>
              <w:t>Depreciation and amortization</w:t>
            </w:r>
          </w:p>
        </w:tc>
        <w:tc>
          <w:tcPr>
            <w:tcW w:w="94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205</w:t>
            </w:r>
          </w:p>
        </w:tc>
        <w:tc>
          <w:tcPr>
            <w:tcW w:w="177" w:type="dxa"/>
            <w:tcBorders>
              <w:bottom w:val="single" w:sz="8" w:space="0" w:color="auto"/>
            </w:tcBorders>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94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205</w:t>
            </w:r>
          </w:p>
        </w:tc>
        <w:tc>
          <w:tcPr>
            <w:tcW w:w="177" w:type="dxa"/>
            <w:tcBorders>
              <w:bottom w:val="single" w:sz="8" w:space="0" w:color="auto"/>
            </w:tcBorders>
            <w:tcMar>
              <w:left w:w="0" w:type="dxa"/>
              <w:right w:w="0" w:type="dxa"/>
            </w:tcMar>
          </w:tcPr>
          <w:p w:rsidR="005E0D39" w:rsidRDefault="005E0D39"/>
        </w:tc>
      </w:tr>
      <w:tr w:rsidR="005E0D39">
        <w:trPr>
          <w:trHeight w:hRule="exact" w:val="300"/>
          <w:jc w:val="center"/>
        </w:trPr>
        <w:tc>
          <w:tcPr>
            <w:tcW w:w="4640" w:type="dxa"/>
            <w:tcMar>
              <w:left w:w="60" w:type="dxa"/>
              <w:right w:w="40" w:type="dxa"/>
            </w:tcMar>
            <w:vAlign w:val="bottom"/>
          </w:tcPr>
          <w:p w:rsidR="005E0D39" w:rsidRDefault="00DF02D8">
            <w:pPr>
              <w:keepNext/>
              <w:keepLines/>
              <w:spacing w:before="40" w:after="40"/>
              <w:rPr>
                <w:b/>
              </w:rPr>
            </w:pPr>
            <w:r>
              <w:rPr>
                <w:b/>
                <w:color w:val="000000"/>
              </w:rPr>
              <w:t>Full year 2016 targeted EBITDA</w:t>
            </w: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599</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609</w:t>
            </w:r>
          </w:p>
        </w:tc>
        <w:tc>
          <w:tcPr>
            <w:tcW w:w="177" w:type="dxa"/>
            <w:tcMar>
              <w:left w:w="0" w:type="dxa"/>
              <w:right w:w="0" w:type="dxa"/>
            </w:tcMar>
          </w:tcPr>
          <w:p w:rsidR="005E0D39" w:rsidRDefault="005E0D39"/>
        </w:tc>
      </w:tr>
      <w:tr w:rsidR="007070F7" w:rsidTr="007070F7">
        <w:trPr>
          <w:trHeight w:hRule="exact" w:val="400"/>
          <w:jc w:val="center"/>
        </w:trPr>
        <w:tc>
          <w:tcPr>
            <w:tcW w:w="4640" w:type="dxa"/>
            <w:tcMar>
              <w:left w:w="60" w:type="dxa"/>
              <w:right w:w="40" w:type="dxa"/>
            </w:tcMar>
            <w:vAlign w:val="bottom"/>
          </w:tcPr>
          <w:p w:rsidR="005E0D39" w:rsidRDefault="00DF02D8">
            <w:pPr>
              <w:keepNext/>
              <w:keepLines/>
              <w:spacing w:before="40" w:after="40"/>
            </w:pPr>
            <w:r>
              <w:rPr>
                <w:color w:val="000000"/>
              </w:rPr>
              <w:t>Special charges</w:t>
            </w:r>
          </w:p>
        </w:tc>
        <w:tc>
          <w:tcPr>
            <w:tcW w:w="943" w:type="dxa"/>
            <w:gridSpan w:val="2"/>
            <w:tcMar>
              <w:left w:w="0" w:type="dxa"/>
              <w:right w:w="0" w:type="dxa"/>
            </w:tcMar>
            <w:vAlign w:val="bottom"/>
          </w:tcPr>
          <w:p w:rsidR="005E0D39" w:rsidRDefault="00DF02D8">
            <w:pPr>
              <w:keepNext/>
              <w:keepLines/>
              <w:spacing w:before="40" w:after="40"/>
              <w:jc w:val="right"/>
            </w:pPr>
            <w:r>
              <w:rPr>
                <w:color w:val="000000"/>
              </w:rPr>
              <w:t>3</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943" w:type="dxa"/>
            <w:gridSpan w:val="2"/>
            <w:tcMar>
              <w:left w:w="0" w:type="dxa"/>
              <w:right w:w="0" w:type="dxa"/>
            </w:tcMar>
            <w:vAlign w:val="bottom"/>
          </w:tcPr>
          <w:p w:rsidR="005E0D39" w:rsidRDefault="00DF02D8">
            <w:pPr>
              <w:keepNext/>
              <w:keepLines/>
              <w:spacing w:before="40" w:after="40"/>
              <w:jc w:val="right"/>
            </w:pPr>
            <w:r>
              <w:rPr>
                <w:color w:val="000000"/>
              </w:rPr>
              <w:t>3</w:t>
            </w:r>
          </w:p>
        </w:tc>
        <w:tc>
          <w:tcPr>
            <w:tcW w:w="177" w:type="dxa"/>
            <w:tcMar>
              <w:left w:w="0" w:type="dxa"/>
              <w:right w:w="0" w:type="dxa"/>
            </w:tcMar>
          </w:tcPr>
          <w:p w:rsidR="005E0D39" w:rsidRDefault="005E0D39"/>
        </w:tc>
      </w:tr>
      <w:tr w:rsidR="007070F7" w:rsidTr="007070F7">
        <w:trPr>
          <w:trHeight w:hRule="exact" w:val="300"/>
          <w:jc w:val="center"/>
        </w:trPr>
        <w:tc>
          <w:tcPr>
            <w:tcW w:w="4640" w:type="dxa"/>
            <w:tcMar>
              <w:left w:w="60" w:type="dxa"/>
              <w:right w:w="40" w:type="dxa"/>
            </w:tcMar>
            <w:vAlign w:val="bottom"/>
          </w:tcPr>
          <w:p w:rsidR="005E0D39" w:rsidRDefault="00DF02D8">
            <w:pPr>
              <w:keepNext/>
              <w:keepLines/>
              <w:spacing w:before="40" w:after="40"/>
            </w:pPr>
            <w:r>
              <w:rPr>
                <w:color w:val="000000"/>
              </w:rPr>
              <w:t>Other non-recurring items</w:t>
            </w:r>
          </w:p>
        </w:tc>
        <w:tc>
          <w:tcPr>
            <w:tcW w:w="94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w:t>
            </w:r>
          </w:p>
        </w:tc>
        <w:tc>
          <w:tcPr>
            <w:tcW w:w="177" w:type="dxa"/>
            <w:tcBorders>
              <w:bottom w:val="single" w:sz="8" w:space="0" w:color="auto"/>
            </w:tcBorders>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94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w:t>
            </w:r>
          </w:p>
        </w:tc>
        <w:tc>
          <w:tcPr>
            <w:tcW w:w="177" w:type="dxa"/>
            <w:tcBorders>
              <w:bottom w:val="single" w:sz="8" w:space="0" w:color="auto"/>
            </w:tcBorders>
            <w:tcMar>
              <w:left w:w="0" w:type="dxa"/>
              <w:right w:w="0" w:type="dxa"/>
            </w:tcMar>
          </w:tcPr>
          <w:p w:rsidR="005E0D39" w:rsidRDefault="005E0D39"/>
        </w:tc>
      </w:tr>
      <w:tr w:rsidR="005E0D39">
        <w:trPr>
          <w:trHeight w:hRule="exact" w:val="300"/>
          <w:jc w:val="center"/>
        </w:trPr>
        <w:tc>
          <w:tcPr>
            <w:tcW w:w="4640" w:type="dxa"/>
            <w:tcMar>
              <w:left w:w="60" w:type="dxa"/>
              <w:right w:w="40" w:type="dxa"/>
            </w:tcMar>
            <w:vAlign w:val="bottom"/>
          </w:tcPr>
          <w:p w:rsidR="005E0D39" w:rsidRDefault="00DF02D8">
            <w:pPr>
              <w:keepNext/>
              <w:keepLines/>
              <w:spacing w:before="40" w:after="40"/>
              <w:rPr>
                <w:b/>
              </w:rPr>
            </w:pPr>
            <w:r>
              <w:rPr>
                <w:b/>
                <w:color w:val="000000"/>
              </w:rPr>
              <w:t>Full year 2016 targeted Adjusted EBITDA</w:t>
            </w: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83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602</w:t>
            </w:r>
          </w:p>
        </w:tc>
        <w:tc>
          <w:tcPr>
            <w:tcW w:w="177" w:type="dxa"/>
            <w:tcBorders>
              <w:bottom w:val="double" w:sz="4" w:space="0" w:color="auto"/>
            </w:tcBorders>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83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612</w:t>
            </w:r>
          </w:p>
        </w:tc>
        <w:tc>
          <w:tcPr>
            <w:tcW w:w="177" w:type="dxa"/>
            <w:tcBorders>
              <w:bottom w:val="double" w:sz="4" w:space="0" w:color="auto"/>
            </w:tcBorders>
            <w:tcMar>
              <w:left w:w="0" w:type="dxa"/>
              <w:right w:w="0" w:type="dxa"/>
            </w:tcMar>
          </w:tcPr>
          <w:p w:rsidR="005E0D39" w:rsidRDefault="005E0D39"/>
        </w:tc>
      </w:tr>
      <w:tr w:rsidR="007070F7" w:rsidTr="007070F7">
        <w:trPr>
          <w:trHeight w:hRule="exact" w:val="28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12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r>
      <w:tr w:rsidR="005E0D39">
        <w:trPr>
          <w:trHeight w:hRule="exact" w:val="280"/>
          <w:jc w:val="center"/>
        </w:trPr>
        <w:tc>
          <w:tcPr>
            <w:tcW w:w="4640" w:type="dxa"/>
            <w:tcMar>
              <w:left w:w="60" w:type="dxa"/>
              <w:right w:w="40" w:type="dxa"/>
            </w:tcMar>
            <w:vAlign w:val="bottom"/>
          </w:tcPr>
          <w:p w:rsidR="005E0D39" w:rsidRDefault="00DF02D8">
            <w:pPr>
              <w:keepNext/>
              <w:keepLines/>
              <w:spacing w:before="40" w:after="40"/>
            </w:pPr>
            <w:r>
              <w:rPr>
                <w:color w:val="000000"/>
              </w:rPr>
              <w:t>Full year 2016 targeted sales</w:t>
            </w: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3,950</w:t>
            </w:r>
          </w:p>
        </w:tc>
        <w:tc>
          <w:tcPr>
            <w:tcW w:w="177" w:type="dxa"/>
            <w:tcMar>
              <w:left w:w="0" w:type="dxa"/>
              <w:right w:w="0" w:type="dxa"/>
            </w:tcMar>
          </w:tcPr>
          <w:p w:rsidR="005E0D39" w:rsidRDefault="005E0D39"/>
        </w:tc>
        <w:tc>
          <w:tcPr>
            <w:tcW w:w="1120" w:type="dxa"/>
            <w:tcMar>
              <w:left w:w="60" w:type="dxa"/>
              <w:right w:w="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833" w:type="dxa"/>
            <w:tcMar>
              <w:left w:w="0" w:type="dxa"/>
              <w:right w:w="0" w:type="dxa"/>
            </w:tcMar>
            <w:vAlign w:val="bottom"/>
          </w:tcPr>
          <w:p w:rsidR="005E0D39" w:rsidRDefault="00DF02D8">
            <w:pPr>
              <w:keepNext/>
              <w:keepLines/>
              <w:spacing w:before="40" w:after="40"/>
              <w:jc w:val="right"/>
            </w:pPr>
            <w:r>
              <w:rPr>
                <w:color w:val="000000"/>
              </w:rPr>
              <w:t>3,950</w:t>
            </w:r>
          </w:p>
        </w:tc>
        <w:tc>
          <w:tcPr>
            <w:tcW w:w="177" w:type="dxa"/>
            <w:tcMar>
              <w:left w:w="0" w:type="dxa"/>
              <w:right w:w="0" w:type="dxa"/>
            </w:tcMar>
          </w:tcPr>
          <w:p w:rsidR="005E0D39" w:rsidRDefault="005E0D39"/>
        </w:tc>
      </w:tr>
      <w:tr w:rsidR="007070F7" w:rsidTr="007070F7">
        <w:trPr>
          <w:trHeight w:hRule="exact" w:val="280"/>
          <w:jc w:val="center"/>
        </w:trPr>
        <w:tc>
          <w:tcPr>
            <w:tcW w:w="4640" w:type="dxa"/>
            <w:tcMar>
              <w:left w:w="60" w:type="dxa"/>
              <w:right w:w="0" w:type="dxa"/>
            </w:tcMar>
            <w:vAlign w:val="bottom"/>
          </w:tcPr>
          <w:p w:rsidR="005E0D39" w:rsidRDefault="005E0D39">
            <w:pPr>
              <w:keepNext/>
              <w:keepLines/>
              <w:spacing w:before="40" w:after="40"/>
            </w:pPr>
          </w:p>
        </w:tc>
        <w:tc>
          <w:tcPr>
            <w:tcW w:w="0" w:type="dxa"/>
            <w:gridSpan w:val="3"/>
            <w:tcMar>
              <w:left w:w="0" w:type="dxa"/>
              <w:right w:w="60" w:type="dxa"/>
            </w:tcMar>
            <w:vAlign w:val="bottom"/>
          </w:tcPr>
          <w:p w:rsidR="005E0D39" w:rsidRDefault="005E0D39">
            <w:pPr>
              <w:keepNext/>
              <w:keepLines/>
              <w:spacing w:before="40" w:after="40"/>
            </w:pPr>
          </w:p>
        </w:tc>
        <w:tc>
          <w:tcPr>
            <w:tcW w:w="1120" w:type="dxa"/>
            <w:tcMar>
              <w:left w:w="60" w:type="dxa"/>
              <w:right w:w="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r>
      <w:tr w:rsidR="007070F7" w:rsidTr="007070F7">
        <w:trPr>
          <w:trHeight w:hRule="exact" w:val="280"/>
          <w:jc w:val="center"/>
        </w:trPr>
        <w:tc>
          <w:tcPr>
            <w:tcW w:w="4640" w:type="dxa"/>
            <w:tcMar>
              <w:left w:w="60" w:type="dxa"/>
              <w:right w:w="40" w:type="dxa"/>
            </w:tcMar>
            <w:vAlign w:val="bottom"/>
          </w:tcPr>
          <w:p w:rsidR="005E0D39" w:rsidRDefault="00DF02D8">
            <w:pPr>
              <w:keepLines/>
              <w:spacing w:before="40" w:after="40"/>
              <w:rPr>
                <w:b/>
              </w:rPr>
            </w:pPr>
            <w:r>
              <w:rPr>
                <w:b/>
                <w:color w:val="000000"/>
              </w:rPr>
              <w:t>Full year 2016 targeted Adjusted EBITDA margin</w:t>
            </w:r>
          </w:p>
        </w:tc>
        <w:tc>
          <w:tcPr>
            <w:tcW w:w="943" w:type="dxa"/>
            <w:gridSpan w:val="2"/>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15.25</w:t>
            </w:r>
          </w:p>
        </w:tc>
        <w:tc>
          <w:tcPr>
            <w:tcW w:w="177"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w:t>
            </w:r>
          </w:p>
        </w:tc>
        <w:tc>
          <w:tcPr>
            <w:tcW w:w="1120" w:type="dxa"/>
            <w:tcMar>
              <w:left w:w="60" w:type="dxa"/>
              <w:right w:w="0" w:type="dxa"/>
            </w:tcMar>
            <w:vAlign w:val="bottom"/>
          </w:tcPr>
          <w:p w:rsidR="005E0D39" w:rsidRDefault="005E0D39">
            <w:pPr>
              <w:keepLines/>
              <w:spacing w:before="40" w:after="40"/>
            </w:pPr>
          </w:p>
        </w:tc>
        <w:tc>
          <w:tcPr>
            <w:tcW w:w="943" w:type="dxa"/>
            <w:gridSpan w:val="2"/>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15.5</w:t>
            </w:r>
          </w:p>
        </w:tc>
        <w:tc>
          <w:tcPr>
            <w:tcW w:w="177" w:type="dxa"/>
            <w:tcBorders>
              <w:bottom w:val="double" w:sz="4" w:space="0" w:color="auto"/>
            </w:tcBorders>
            <w:tcMar>
              <w:left w:w="0" w:type="dxa"/>
              <w:right w:w="0" w:type="dxa"/>
            </w:tcMar>
            <w:vAlign w:val="bottom"/>
          </w:tcPr>
          <w:p w:rsidR="005E0D39" w:rsidRDefault="00DF02D8">
            <w:pPr>
              <w:keepLines/>
              <w:spacing w:before="40" w:after="40"/>
              <w:jc w:val="right"/>
            </w:pPr>
            <w:r>
              <w:rPr>
                <w:color w:val="000000"/>
              </w:rPr>
              <w:t>%</w:t>
            </w:r>
          </w:p>
        </w:tc>
      </w:tr>
    </w:tbl>
    <w:p w:rsidR="005E0D39" w:rsidRDefault="005E0D39">
      <w:pPr>
        <w:spacing w:before="60" w:after="140"/>
        <w:jc w:val="center"/>
      </w:pPr>
    </w:p>
    <w:tbl>
      <w:tblPr>
        <w:tblW w:w="7340" w:type="dxa"/>
        <w:jc w:val="center"/>
        <w:tblLayout w:type="fixed"/>
        <w:tblCellMar>
          <w:left w:w="10" w:type="dxa"/>
          <w:right w:w="10" w:type="dxa"/>
        </w:tblCellMar>
        <w:tblLook w:val="04A0" w:firstRow="1" w:lastRow="0" w:firstColumn="1" w:lastColumn="0" w:noHBand="0" w:noVBand="1"/>
      </w:tblPr>
      <w:tblGrid>
        <w:gridCol w:w="4700"/>
        <w:gridCol w:w="660"/>
        <w:gridCol w:w="110"/>
        <w:gridCol w:w="1073"/>
        <w:gridCol w:w="77"/>
        <w:gridCol w:w="720"/>
      </w:tblGrid>
      <w:tr w:rsidR="007070F7" w:rsidTr="007070F7">
        <w:trPr>
          <w:trHeight w:hRule="exact" w:val="240"/>
          <w:jc w:val="center"/>
        </w:trPr>
        <w:tc>
          <w:tcPr>
            <w:tcW w:w="4700" w:type="dxa"/>
            <w:tcMar>
              <w:left w:w="60" w:type="dxa"/>
              <w:right w:w="0" w:type="dxa"/>
            </w:tcMar>
            <w:vAlign w:val="bottom"/>
          </w:tcPr>
          <w:p w:rsidR="005E0D39" w:rsidRDefault="005E0D39">
            <w:pPr>
              <w:keepNext/>
              <w:keepLines/>
              <w:spacing w:before="40" w:after="40"/>
            </w:pPr>
          </w:p>
        </w:tc>
        <w:tc>
          <w:tcPr>
            <w:tcW w:w="2640" w:type="dxa"/>
            <w:gridSpan w:val="5"/>
            <w:tcMar>
              <w:left w:w="60" w:type="dxa"/>
              <w:right w:w="60" w:type="dxa"/>
            </w:tcMar>
            <w:vAlign w:val="bottom"/>
          </w:tcPr>
          <w:p w:rsidR="005E0D39" w:rsidRDefault="00DF02D8">
            <w:pPr>
              <w:keepNext/>
              <w:keepLines/>
              <w:spacing w:before="40" w:after="40"/>
              <w:jc w:val="center"/>
              <w:rPr>
                <w:b/>
              </w:rPr>
            </w:pPr>
            <w:r>
              <w:rPr>
                <w:b/>
                <w:color w:val="000000"/>
                <w:u w:val="single" w:color="000000"/>
              </w:rPr>
              <w:t>Free Cash Flow</w:t>
            </w:r>
          </w:p>
        </w:tc>
      </w:tr>
      <w:tr w:rsidR="007070F7" w:rsidTr="007070F7">
        <w:trPr>
          <w:trHeight w:hRule="exact" w:val="280"/>
          <w:jc w:val="center"/>
        </w:trPr>
        <w:tc>
          <w:tcPr>
            <w:tcW w:w="4700" w:type="dxa"/>
            <w:tcMar>
              <w:left w:w="60" w:type="dxa"/>
              <w:right w:w="0" w:type="dxa"/>
            </w:tcMar>
            <w:vAlign w:val="bottom"/>
          </w:tcPr>
          <w:p w:rsidR="005E0D39" w:rsidRDefault="005E0D39">
            <w:pPr>
              <w:keepNext/>
              <w:keepLines/>
              <w:spacing w:before="40" w:after="40"/>
            </w:pPr>
          </w:p>
        </w:tc>
        <w:tc>
          <w:tcPr>
            <w:tcW w:w="2640" w:type="dxa"/>
            <w:gridSpan w:val="5"/>
            <w:tcMar>
              <w:left w:w="60" w:type="dxa"/>
              <w:right w:w="60" w:type="dxa"/>
            </w:tcMar>
            <w:vAlign w:val="bottom"/>
          </w:tcPr>
          <w:p w:rsidR="005E0D39" w:rsidRDefault="00DF02D8">
            <w:pPr>
              <w:keepNext/>
              <w:keepLines/>
              <w:spacing w:before="40" w:after="40"/>
              <w:jc w:val="center"/>
            </w:pPr>
            <w:r>
              <w:rPr>
                <w:color w:val="000000"/>
              </w:rPr>
              <w:t>(in millions)</w:t>
            </w:r>
          </w:p>
        </w:tc>
      </w:tr>
      <w:tr w:rsidR="007070F7" w:rsidTr="007070F7">
        <w:trPr>
          <w:trHeight w:hRule="exact" w:val="280"/>
          <w:jc w:val="center"/>
        </w:trPr>
        <w:tc>
          <w:tcPr>
            <w:tcW w:w="4700" w:type="dxa"/>
            <w:tcMar>
              <w:left w:w="60" w:type="dxa"/>
              <w:right w:w="0" w:type="dxa"/>
            </w:tcMar>
            <w:vAlign w:val="bottom"/>
          </w:tcPr>
          <w:p w:rsidR="005E0D39" w:rsidRDefault="005E0D39">
            <w:pPr>
              <w:keepNext/>
              <w:keepLines/>
              <w:spacing w:before="40" w:after="40"/>
            </w:pPr>
          </w:p>
        </w:tc>
        <w:tc>
          <w:tcPr>
            <w:tcW w:w="660" w:type="dxa"/>
            <w:tcMar>
              <w:left w:w="0" w:type="dxa"/>
              <w:right w:w="60" w:type="dxa"/>
            </w:tcMar>
            <w:vAlign w:val="bottom"/>
          </w:tcPr>
          <w:p w:rsidR="005E0D39" w:rsidRDefault="005E0D39">
            <w:pPr>
              <w:keepNext/>
              <w:keepLines/>
              <w:spacing w:before="40" w:after="40"/>
            </w:pPr>
          </w:p>
        </w:tc>
        <w:tc>
          <w:tcPr>
            <w:tcW w:w="0" w:type="dxa"/>
            <w:gridSpan w:val="3"/>
            <w:tcMar>
              <w:left w:w="60" w:type="dxa"/>
              <w:right w:w="0" w:type="dxa"/>
            </w:tcMar>
            <w:vAlign w:val="bottom"/>
          </w:tcPr>
          <w:p w:rsidR="005E0D39" w:rsidRDefault="005E0D39">
            <w:pPr>
              <w:keepNext/>
              <w:keepLines/>
              <w:spacing w:before="40" w:after="40"/>
            </w:pPr>
          </w:p>
        </w:tc>
        <w:tc>
          <w:tcPr>
            <w:tcW w:w="720" w:type="dxa"/>
            <w:tcMar>
              <w:left w:w="60" w:type="dxa"/>
              <w:right w:w="0" w:type="dxa"/>
            </w:tcMar>
            <w:vAlign w:val="bottom"/>
          </w:tcPr>
          <w:p w:rsidR="005E0D39" w:rsidRDefault="005E0D39">
            <w:pPr>
              <w:keepNext/>
              <w:keepLines/>
              <w:spacing w:before="40" w:after="40"/>
            </w:pPr>
          </w:p>
        </w:tc>
      </w:tr>
      <w:tr w:rsidR="005E0D39">
        <w:trPr>
          <w:trHeight w:hRule="exact" w:val="280"/>
          <w:jc w:val="center"/>
        </w:trPr>
        <w:tc>
          <w:tcPr>
            <w:tcW w:w="4700" w:type="dxa"/>
            <w:tcMar>
              <w:left w:w="60" w:type="dxa"/>
              <w:right w:w="40" w:type="dxa"/>
            </w:tcMar>
            <w:vAlign w:val="bottom"/>
          </w:tcPr>
          <w:p w:rsidR="005E0D39" w:rsidRDefault="00DF02D8">
            <w:pPr>
              <w:keepNext/>
              <w:keepLines/>
              <w:spacing w:before="40" w:after="40"/>
            </w:pPr>
            <w:r>
              <w:rPr>
                <w:color w:val="000000"/>
              </w:rPr>
              <w:t>Net cash provided by operating activities</w:t>
            </w:r>
          </w:p>
        </w:tc>
        <w:tc>
          <w:tcPr>
            <w:tcW w:w="660" w:type="dxa"/>
            <w:tcMar>
              <w:left w:w="0" w:type="dxa"/>
              <w:right w:w="60" w:type="dxa"/>
            </w:tcMar>
            <w:vAlign w:val="bottom"/>
          </w:tcPr>
          <w:p w:rsidR="005E0D39" w:rsidRDefault="005E0D39">
            <w:pPr>
              <w:keepNext/>
              <w:keepLines/>
              <w:spacing w:before="40" w:after="40"/>
            </w:pPr>
          </w:p>
        </w:tc>
        <w:tc>
          <w:tcPr>
            <w:tcW w:w="110" w:type="dxa"/>
            <w:tcMar>
              <w:left w:w="0" w:type="dxa"/>
              <w:right w:w="0" w:type="dxa"/>
            </w:tcMar>
            <w:vAlign w:val="bottom"/>
          </w:tcPr>
          <w:p w:rsidR="005E0D39" w:rsidRDefault="00DF02D8">
            <w:pPr>
              <w:keepNext/>
              <w:keepLines/>
              <w:spacing w:before="40" w:after="40"/>
            </w:pPr>
            <w:r>
              <w:rPr>
                <w:color w:val="000000"/>
              </w:rPr>
              <w:t>$</w:t>
            </w:r>
          </w:p>
        </w:tc>
        <w:tc>
          <w:tcPr>
            <w:tcW w:w="1073" w:type="dxa"/>
            <w:tcMar>
              <w:left w:w="0" w:type="dxa"/>
              <w:right w:w="0" w:type="dxa"/>
            </w:tcMar>
            <w:vAlign w:val="bottom"/>
          </w:tcPr>
          <w:p w:rsidR="005E0D39" w:rsidRDefault="00DF02D8">
            <w:pPr>
              <w:keepNext/>
              <w:keepLines/>
              <w:spacing w:before="40" w:after="40"/>
              <w:jc w:val="right"/>
            </w:pPr>
            <w:r>
              <w:rPr>
                <w:color w:val="000000"/>
              </w:rPr>
              <w:t>400</w:t>
            </w:r>
          </w:p>
        </w:tc>
        <w:tc>
          <w:tcPr>
            <w:tcW w:w="77" w:type="dxa"/>
            <w:tcMar>
              <w:left w:w="0" w:type="dxa"/>
              <w:right w:w="0" w:type="dxa"/>
            </w:tcMar>
          </w:tcPr>
          <w:p w:rsidR="005E0D39" w:rsidRDefault="005E0D39"/>
        </w:tc>
        <w:tc>
          <w:tcPr>
            <w:tcW w:w="720" w:type="dxa"/>
            <w:tcMar>
              <w:left w:w="60" w:type="dxa"/>
              <w:right w:w="0" w:type="dxa"/>
            </w:tcMar>
            <w:vAlign w:val="bottom"/>
          </w:tcPr>
          <w:p w:rsidR="005E0D39" w:rsidRDefault="005E0D39">
            <w:pPr>
              <w:keepNext/>
              <w:keepLines/>
              <w:spacing w:before="40" w:after="40"/>
            </w:pPr>
          </w:p>
        </w:tc>
      </w:tr>
      <w:tr w:rsidR="007070F7" w:rsidTr="007070F7">
        <w:trPr>
          <w:trHeight w:hRule="exact" w:val="680"/>
          <w:jc w:val="center"/>
        </w:trPr>
        <w:tc>
          <w:tcPr>
            <w:tcW w:w="4700" w:type="dxa"/>
            <w:tcMar>
              <w:left w:w="60" w:type="dxa"/>
              <w:right w:w="40" w:type="dxa"/>
            </w:tcMar>
            <w:vAlign w:val="bottom"/>
          </w:tcPr>
          <w:p w:rsidR="005E0D39" w:rsidRDefault="00DF02D8">
            <w:pPr>
              <w:keepNext/>
              <w:keepLines/>
              <w:spacing w:before="40" w:after="40"/>
            </w:pPr>
            <w:r>
              <w:rPr>
                <w:color w:val="000000"/>
              </w:rPr>
              <w:t>Less: Purchases of property, plant and equipment, net of proceeds from sale of property, plant and equipment and government grants</w:t>
            </w:r>
          </w:p>
        </w:tc>
        <w:tc>
          <w:tcPr>
            <w:tcW w:w="660" w:type="dxa"/>
            <w:tcMar>
              <w:left w:w="0" w:type="dxa"/>
              <w:right w:w="60" w:type="dxa"/>
            </w:tcMar>
            <w:vAlign w:val="bottom"/>
          </w:tcPr>
          <w:p w:rsidR="005E0D39" w:rsidRDefault="005E0D39">
            <w:pPr>
              <w:keepNext/>
              <w:keepLines/>
              <w:spacing w:before="40" w:after="40"/>
            </w:pPr>
          </w:p>
        </w:tc>
        <w:tc>
          <w:tcPr>
            <w:tcW w:w="1183" w:type="dxa"/>
            <w:gridSpan w:val="2"/>
            <w:tcBorders>
              <w:bottom w:val="single" w:sz="8" w:space="0" w:color="auto"/>
            </w:tcBorders>
            <w:tcMar>
              <w:left w:w="0" w:type="dxa"/>
              <w:right w:w="0" w:type="dxa"/>
            </w:tcMar>
            <w:vAlign w:val="bottom"/>
          </w:tcPr>
          <w:p w:rsidR="005E0D39" w:rsidRDefault="00DF02D8">
            <w:pPr>
              <w:keepNext/>
              <w:keepLines/>
              <w:spacing w:before="40" w:after="40"/>
              <w:jc w:val="right"/>
            </w:pPr>
            <w:r>
              <w:rPr>
                <w:color w:val="000000"/>
              </w:rPr>
              <w:t>(240</w:t>
            </w:r>
          </w:p>
        </w:tc>
        <w:tc>
          <w:tcPr>
            <w:tcW w:w="77" w:type="dxa"/>
            <w:tcBorders>
              <w:bottom w:val="single" w:sz="8" w:space="0" w:color="auto"/>
            </w:tcBorders>
            <w:tcMar>
              <w:left w:w="0" w:type="dxa"/>
              <w:right w:w="0" w:type="dxa"/>
            </w:tcMar>
            <w:vAlign w:val="bottom"/>
          </w:tcPr>
          <w:p w:rsidR="005E0D39" w:rsidRDefault="00DF02D8">
            <w:pPr>
              <w:keepNext/>
              <w:keepLines/>
              <w:spacing w:before="40" w:after="40"/>
            </w:pPr>
            <w:r>
              <w:rPr>
                <w:color w:val="000000"/>
              </w:rPr>
              <w:t>)</w:t>
            </w:r>
          </w:p>
        </w:tc>
        <w:tc>
          <w:tcPr>
            <w:tcW w:w="720" w:type="dxa"/>
            <w:tcMar>
              <w:left w:w="60" w:type="dxa"/>
              <w:right w:w="0" w:type="dxa"/>
            </w:tcMar>
            <w:vAlign w:val="bottom"/>
          </w:tcPr>
          <w:p w:rsidR="005E0D39" w:rsidRDefault="005E0D39">
            <w:pPr>
              <w:keepNext/>
              <w:keepLines/>
              <w:spacing w:before="40" w:after="40"/>
            </w:pPr>
          </w:p>
        </w:tc>
      </w:tr>
      <w:tr w:rsidR="005E0D39">
        <w:trPr>
          <w:trHeight w:hRule="exact" w:val="300"/>
          <w:jc w:val="center"/>
        </w:trPr>
        <w:tc>
          <w:tcPr>
            <w:tcW w:w="4700" w:type="dxa"/>
            <w:tcMar>
              <w:left w:w="60" w:type="dxa"/>
              <w:right w:w="40" w:type="dxa"/>
            </w:tcMar>
            <w:vAlign w:val="bottom"/>
          </w:tcPr>
          <w:p w:rsidR="005E0D39" w:rsidRDefault="00DF02D8">
            <w:pPr>
              <w:keepNext/>
              <w:keepLines/>
              <w:spacing w:before="40" w:after="40"/>
              <w:rPr>
                <w:b/>
              </w:rPr>
            </w:pPr>
            <w:r>
              <w:rPr>
                <w:b/>
                <w:color w:val="000000"/>
              </w:rPr>
              <w:t>Full year 2016 targeted free cash flow</w:t>
            </w:r>
          </w:p>
        </w:tc>
        <w:tc>
          <w:tcPr>
            <w:tcW w:w="660" w:type="dxa"/>
            <w:tcMar>
              <w:left w:w="60" w:type="dxa"/>
              <w:right w:w="0" w:type="dxa"/>
            </w:tcMar>
            <w:vAlign w:val="bottom"/>
          </w:tcPr>
          <w:p w:rsidR="005E0D39" w:rsidRDefault="005E0D39">
            <w:pPr>
              <w:keepNext/>
              <w:keepLines/>
              <w:spacing w:before="40" w:after="40"/>
            </w:pPr>
          </w:p>
        </w:tc>
        <w:tc>
          <w:tcPr>
            <w:tcW w:w="110" w:type="dxa"/>
            <w:tcBorders>
              <w:bottom w:val="double" w:sz="4" w:space="0" w:color="auto"/>
            </w:tcBorders>
            <w:tcMar>
              <w:left w:w="0" w:type="dxa"/>
              <w:right w:w="0" w:type="dxa"/>
            </w:tcMar>
            <w:vAlign w:val="bottom"/>
          </w:tcPr>
          <w:p w:rsidR="005E0D39" w:rsidRDefault="00DF02D8">
            <w:pPr>
              <w:keepNext/>
              <w:keepLines/>
              <w:spacing w:before="40" w:after="40"/>
            </w:pPr>
            <w:r>
              <w:rPr>
                <w:color w:val="000000"/>
              </w:rPr>
              <w:t>$</w:t>
            </w:r>
          </w:p>
        </w:tc>
        <w:tc>
          <w:tcPr>
            <w:tcW w:w="1073" w:type="dxa"/>
            <w:tcBorders>
              <w:bottom w:val="double" w:sz="4" w:space="0" w:color="auto"/>
            </w:tcBorders>
            <w:tcMar>
              <w:left w:w="0" w:type="dxa"/>
              <w:right w:w="0" w:type="dxa"/>
            </w:tcMar>
            <w:vAlign w:val="bottom"/>
          </w:tcPr>
          <w:p w:rsidR="005E0D39" w:rsidRDefault="00DF02D8">
            <w:pPr>
              <w:keepNext/>
              <w:keepLines/>
              <w:spacing w:before="40" w:after="40"/>
              <w:jc w:val="right"/>
            </w:pPr>
            <w:r>
              <w:rPr>
                <w:color w:val="000000"/>
              </w:rPr>
              <w:t>160</w:t>
            </w:r>
          </w:p>
        </w:tc>
        <w:tc>
          <w:tcPr>
            <w:tcW w:w="77" w:type="dxa"/>
            <w:tcBorders>
              <w:bottom w:val="double" w:sz="4" w:space="0" w:color="auto"/>
            </w:tcBorders>
            <w:tcMar>
              <w:left w:w="0" w:type="dxa"/>
              <w:right w:w="0" w:type="dxa"/>
            </w:tcMar>
          </w:tcPr>
          <w:p w:rsidR="005E0D39" w:rsidRDefault="005E0D39"/>
        </w:tc>
        <w:tc>
          <w:tcPr>
            <w:tcW w:w="720" w:type="dxa"/>
            <w:tcMar>
              <w:left w:w="60" w:type="dxa"/>
              <w:right w:w="0" w:type="dxa"/>
            </w:tcMar>
            <w:vAlign w:val="bottom"/>
          </w:tcPr>
          <w:p w:rsidR="005E0D39" w:rsidRDefault="005E0D39">
            <w:pPr>
              <w:keepNext/>
              <w:keepLines/>
              <w:spacing w:before="40" w:after="40"/>
            </w:pPr>
          </w:p>
        </w:tc>
      </w:tr>
      <w:tr w:rsidR="007070F7" w:rsidTr="007070F7">
        <w:trPr>
          <w:trHeight w:hRule="exact" w:val="100"/>
          <w:jc w:val="center"/>
        </w:trPr>
        <w:tc>
          <w:tcPr>
            <w:tcW w:w="4700" w:type="dxa"/>
            <w:tcMar>
              <w:left w:w="60" w:type="dxa"/>
              <w:right w:w="0" w:type="dxa"/>
            </w:tcMar>
            <w:vAlign w:val="bottom"/>
          </w:tcPr>
          <w:p w:rsidR="005E0D39" w:rsidRDefault="005E0D39">
            <w:pPr>
              <w:keepLines/>
              <w:spacing w:before="40" w:after="40"/>
            </w:pPr>
          </w:p>
        </w:tc>
        <w:tc>
          <w:tcPr>
            <w:tcW w:w="660" w:type="dxa"/>
            <w:tcMar>
              <w:left w:w="0" w:type="dxa"/>
              <w:right w:w="60" w:type="dxa"/>
            </w:tcMar>
            <w:vAlign w:val="bottom"/>
          </w:tcPr>
          <w:p w:rsidR="005E0D39" w:rsidRDefault="005E0D39">
            <w:pPr>
              <w:keepLines/>
              <w:spacing w:before="40" w:after="40"/>
            </w:pPr>
          </w:p>
        </w:tc>
        <w:tc>
          <w:tcPr>
            <w:tcW w:w="0" w:type="dxa"/>
            <w:gridSpan w:val="3"/>
            <w:tcMar>
              <w:left w:w="60" w:type="dxa"/>
              <w:right w:w="0" w:type="dxa"/>
            </w:tcMar>
            <w:vAlign w:val="bottom"/>
          </w:tcPr>
          <w:p w:rsidR="005E0D39" w:rsidRDefault="005E0D39">
            <w:pPr>
              <w:keepLines/>
              <w:spacing w:before="40" w:after="40"/>
            </w:pPr>
          </w:p>
        </w:tc>
        <w:tc>
          <w:tcPr>
            <w:tcW w:w="720" w:type="dxa"/>
            <w:tcMar>
              <w:left w:w="0" w:type="dxa"/>
              <w:right w:w="60" w:type="dxa"/>
            </w:tcMar>
            <w:vAlign w:val="bottom"/>
          </w:tcPr>
          <w:p w:rsidR="005E0D39" w:rsidRDefault="005E0D39">
            <w:pPr>
              <w:keepLines/>
              <w:spacing w:before="40" w:after="40"/>
            </w:pPr>
          </w:p>
        </w:tc>
      </w:tr>
    </w:tbl>
    <w:p w:rsidR="005E0D39" w:rsidRDefault="005E0D39">
      <w:pPr>
        <w:spacing w:before="60" w:line="288" w:lineRule="auto"/>
      </w:pPr>
    </w:p>
    <w:p w:rsidR="005E0D39" w:rsidRDefault="00DF02D8">
      <w:pPr>
        <w:spacing w:line="288" w:lineRule="auto"/>
      </w:pPr>
      <w:r>
        <w:lastRenderedPageBreak/>
        <w:t>Due to the unpredictability of future events and the impractical nature of estimating the impact of such events, the foregoing forward-looking information does not reflect potential special charges, asset impairments, income tax adjustments, debt refinancing activities or other possible adjustments to EBITDA and free cash flow.</w:t>
      </w:r>
    </w:p>
    <w:p w:rsidR="005E0D39" w:rsidRDefault="005E0D39">
      <w:pPr>
        <w:spacing w:line="288" w:lineRule="auto"/>
      </w:pPr>
    </w:p>
    <w:p w:rsidR="005E0D39" w:rsidRDefault="005E0D39">
      <w:pPr>
        <w:spacing w:line="288" w:lineRule="auto"/>
      </w:pPr>
    </w:p>
    <w:p w:rsidR="005E0D39" w:rsidRDefault="00DF02D8">
      <w:pPr>
        <w:spacing w:line="288" w:lineRule="auto"/>
      </w:pPr>
      <w:r>
        <w:t>______________________________________</w:t>
      </w:r>
    </w:p>
    <w:p w:rsidR="005E0D39" w:rsidRDefault="005E0D39">
      <w:pPr>
        <w:spacing w:line="288" w:lineRule="auto"/>
        <w:ind w:left="720"/>
      </w:pPr>
    </w:p>
    <w:p w:rsidR="005E0D39" w:rsidRDefault="00DF02D8">
      <w:pPr>
        <w:numPr>
          <w:ilvl w:val="0"/>
          <w:numId w:val="4"/>
        </w:numPr>
        <w:spacing w:line="288" w:lineRule="auto"/>
        <w:ind w:left="720"/>
      </w:pPr>
      <w:r>
        <w:t>We define EBITDA to be earnings before interest expense, income taxes, depreciation and amortization. Adjusted EBITDA is defined as EBITDA excluding the impact of special charges and other non-recurring items. We believe that EBITDA and Adjusted EBITDA are meaningful measures of performance as they are commonly utilized by management and investors to analyze operating performance and entity valuation. Our management, the investment community and banking institutions routinely use EBITDA, together with other measures, to measure our operating performance relative to other Tier 1 automotive suppliers. EBITDA and Adjusted EBITDA should not be construed as income from operations, net income or cash flow from operating activities as determined under GAAP. Other companies may calculate EBITDA and Adjusted EBITDA differently.</w:t>
      </w:r>
    </w:p>
    <w:p w:rsidR="005E0D39" w:rsidRDefault="005E0D39">
      <w:pPr>
        <w:spacing w:line="288" w:lineRule="auto"/>
      </w:pPr>
    </w:p>
    <w:p w:rsidR="005E0D39" w:rsidRDefault="00DF02D8">
      <w:pPr>
        <w:spacing w:line="288" w:lineRule="auto"/>
        <w:ind w:left="720" w:hanging="720"/>
      </w:pPr>
      <w:r>
        <w:t xml:space="preserve">(b) </w:t>
      </w:r>
      <w:r>
        <w:tab/>
        <w:t>Special charges of $3.4 million for the three and nine months ended September 30, 2016 relate to an asset impairment charge.</w:t>
      </w:r>
    </w:p>
    <w:p w:rsidR="005E0D39" w:rsidRDefault="005E0D39">
      <w:pPr>
        <w:spacing w:line="288" w:lineRule="auto"/>
        <w:ind w:left="720"/>
      </w:pPr>
    </w:p>
    <w:p w:rsidR="005E0D39" w:rsidRDefault="00DF02D8">
      <w:pPr>
        <w:spacing w:line="288" w:lineRule="auto"/>
        <w:ind w:left="720" w:hanging="720"/>
      </w:pPr>
      <w:r>
        <w:t>(c)</w:t>
      </w:r>
      <w:r>
        <w:tab/>
        <w:t xml:space="preserve">Other non-recurring items for the three months ended September 30, 2016 reflect $0.7 million of acquisition related expenses. For the nine months ended September 30, 2016, other non-recurring items also include a $1.0 million investment gain related to the final distribution of the Reserve Yield </w:t>
      </w:r>
      <w:proofErr w:type="gramStart"/>
      <w:r>
        <w:t>Plus</w:t>
      </w:r>
      <w:proofErr w:type="gramEnd"/>
      <w:r>
        <w:t xml:space="preserve"> Fund.</w:t>
      </w:r>
    </w:p>
    <w:p w:rsidR="005E0D39" w:rsidRDefault="005E0D39">
      <w:pPr>
        <w:spacing w:line="288" w:lineRule="auto"/>
      </w:pPr>
    </w:p>
    <w:p w:rsidR="005E0D39" w:rsidRDefault="00DF02D8">
      <w:pPr>
        <w:spacing w:line="288" w:lineRule="auto"/>
        <w:ind w:left="720" w:hanging="720"/>
      </w:pPr>
      <w:r>
        <w:t>(d)</w:t>
      </w:r>
      <w:r>
        <w:tab/>
        <w:t>Net debt is equal to total debt, net less cash and cash equivalents.</w:t>
      </w:r>
    </w:p>
    <w:p w:rsidR="005E0D39" w:rsidRDefault="005E0D39">
      <w:pPr>
        <w:spacing w:line="288" w:lineRule="auto"/>
        <w:ind w:left="720"/>
      </w:pPr>
    </w:p>
    <w:p w:rsidR="005E0D39" w:rsidRDefault="00DF02D8">
      <w:pPr>
        <w:spacing w:line="288" w:lineRule="auto"/>
        <w:ind w:left="720" w:hanging="720"/>
      </w:pPr>
      <w:r>
        <w:t>(e)</w:t>
      </w:r>
      <w:r>
        <w:tab/>
        <w:t>Net debt to capital is equal to net debt divided by the sum of stockholders' equity and net debt.  We believe that net debt to capital is a meaningful measure of financial condition as it is commonly utilized by management, investors and creditors to assess relative capital structure risk.  Other companies may calculate net debt to capital differently.</w:t>
      </w:r>
    </w:p>
    <w:p w:rsidR="005E0D39" w:rsidRDefault="005E0D39">
      <w:pPr>
        <w:spacing w:line="288" w:lineRule="auto"/>
        <w:ind w:left="720"/>
      </w:pPr>
    </w:p>
    <w:p w:rsidR="005E0D39" w:rsidRDefault="00DF02D8">
      <w:pPr>
        <w:spacing w:line="288" w:lineRule="auto"/>
        <w:ind w:left="720" w:hanging="720"/>
      </w:pPr>
      <w:r>
        <w:t>(f)</w:t>
      </w:r>
      <w:r>
        <w:tab/>
        <w:t>We define free cash flow to be net cash provided by operating activities less capital expenditures net of proceeds from the sale of property, plant and equipment and government grants.  We believe free cash flow is a meaningful measure as it is commonly utilized by management and investors to assess our ability to generate cash flow from business operations to repay debt and return capital to our stockholders.  Free cash flow is also a key metric used in our calculation of incentive compensation.  Other companies may calculate free cash flow differently.</w:t>
      </w:r>
    </w:p>
    <w:p w:rsidR="005E0D39" w:rsidRDefault="005E0D39">
      <w:pPr>
        <w:spacing w:line="288" w:lineRule="auto"/>
        <w:ind w:left="720"/>
      </w:pPr>
    </w:p>
    <w:p w:rsidR="005E0D39" w:rsidRDefault="005E0D39">
      <w:pPr>
        <w:spacing w:line="288" w:lineRule="auto"/>
      </w:pPr>
    </w:p>
    <w:p w:rsidR="005E0D39" w:rsidRDefault="005E0D39">
      <w:pPr>
        <w:spacing w:line="288" w:lineRule="auto"/>
        <w:ind w:left="720"/>
      </w:pPr>
    </w:p>
    <w:sectPr w:rsidR="005E0D39">
      <w:headerReference w:type="default" r:id="rId19"/>
      <w:footerReference w:type="default" r:id="rId20"/>
      <w:pgSz w:w="12240" w:h="15840"/>
      <w:pgMar w:top="720" w:right="720" w:bottom="720" w:left="720" w:header="160" w:footer="320"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50" w:rsidRDefault="00EB6850">
      <w:r>
        <w:separator/>
      </w:r>
    </w:p>
  </w:endnote>
  <w:endnote w:type="continuationSeparator" w:id="0">
    <w:p w:rsidR="00EB6850" w:rsidRDefault="00EB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DF02D8">
    <w:pPr>
      <w:spacing w:line="288" w:lineRule="auto"/>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50" w:rsidRDefault="00EB6850">
      <w:r>
        <w:separator/>
      </w:r>
    </w:p>
  </w:footnote>
  <w:footnote w:type="continuationSeparator" w:id="0">
    <w:p w:rsidR="00EB6850" w:rsidRDefault="00EB6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9" w:rsidRDefault="005E0D39">
    <w:pPr>
      <w:spacing w:line="28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32B"/>
    <w:multiLevelType w:val="hybridMultilevel"/>
    <w:tmpl w:val="F746F2F0"/>
    <w:lvl w:ilvl="0" w:tplc="907C48A0">
      <w:start w:val="1"/>
      <w:numFmt w:val="lowerLetter"/>
      <w:lvlText w:val="(%1)"/>
      <w:lvlJc w:val="left"/>
      <w:pPr>
        <w:ind w:hanging="720"/>
      </w:pPr>
    </w:lvl>
    <w:lvl w:ilvl="1" w:tplc="B62E8408">
      <w:numFmt w:val="decimal"/>
      <w:lvlText w:val=""/>
      <w:lvlJc w:val="left"/>
    </w:lvl>
    <w:lvl w:ilvl="2" w:tplc="BB10CD32">
      <w:numFmt w:val="decimal"/>
      <w:lvlText w:val=""/>
      <w:lvlJc w:val="left"/>
    </w:lvl>
    <w:lvl w:ilvl="3" w:tplc="B2AE5488">
      <w:numFmt w:val="decimal"/>
      <w:lvlText w:val=""/>
      <w:lvlJc w:val="left"/>
    </w:lvl>
    <w:lvl w:ilvl="4" w:tplc="79C6206A">
      <w:numFmt w:val="decimal"/>
      <w:lvlText w:val=""/>
      <w:lvlJc w:val="left"/>
    </w:lvl>
    <w:lvl w:ilvl="5" w:tplc="DD3E1778">
      <w:numFmt w:val="decimal"/>
      <w:lvlText w:val=""/>
      <w:lvlJc w:val="left"/>
    </w:lvl>
    <w:lvl w:ilvl="6" w:tplc="C9A69BDE">
      <w:numFmt w:val="decimal"/>
      <w:lvlText w:val=""/>
      <w:lvlJc w:val="left"/>
    </w:lvl>
    <w:lvl w:ilvl="7" w:tplc="2A3A3E64">
      <w:numFmt w:val="decimal"/>
      <w:lvlText w:val=""/>
      <w:lvlJc w:val="left"/>
    </w:lvl>
    <w:lvl w:ilvl="8" w:tplc="D0EC8DF8">
      <w:numFmt w:val="decimal"/>
      <w:lvlText w:val=""/>
      <w:lvlJc w:val="left"/>
    </w:lvl>
  </w:abstractNum>
  <w:abstractNum w:abstractNumId="1">
    <w:nsid w:val="62D55131"/>
    <w:multiLevelType w:val="hybridMultilevel"/>
    <w:tmpl w:val="F35A87D2"/>
    <w:lvl w:ilvl="0" w:tplc="2B887D96">
      <w:start w:val="1"/>
      <w:numFmt w:val="lowerLetter"/>
      <w:lvlText w:val="(%1)"/>
      <w:lvlJc w:val="left"/>
      <w:pPr>
        <w:ind w:hanging="720"/>
      </w:pPr>
    </w:lvl>
    <w:lvl w:ilvl="1" w:tplc="8A8A46CE">
      <w:numFmt w:val="decimal"/>
      <w:lvlText w:val=""/>
      <w:lvlJc w:val="left"/>
    </w:lvl>
    <w:lvl w:ilvl="2" w:tplc="A5262E98">
      <w:numFmt w:val="decimal"/>
      <w:lvlText w:val=""/>
      <w:lvlJc w:val="left"/>
    </w:lvl>
    <w:lvl w:ilvl="3" w:tplc="CA76CD42">
      <w:numFmt w:val="decimal"/>
      <w:lvlText w:val=""/>
      <w:lvlJc w:val="left"/>
    </w:lvl>
    <w:lvl w:ilvl="4" w:tplc="1504A4D2">
      <w:numFmt w:val="decimal"/>
      <w:lvlText w:val=""/>
      <w:lvlJc w:val="left"/>
    </w:lvl>
    <w:lvl w:ilvl="5" w:tplc="89F622D0">
      <w:numFmt w:val="decimal"/>
      <w:lvlText w:val=""/>
      <w:lvlJc w:val="left"/>
    </w:lvl>
    <w:lvl w:ilvl="6" w:tplc="0FD842DA">
      <w:numFmt w:val="decimal"/>
      <w:lvlText w:val=""/>
      <w:lvlJc w:val="left"/>
    </w:lvl>
    <w:lvl w:ilvl="7" w:tplc="FC421102">
      <w:numFmt w:val="decimal"/>
      <w:lvlText w:val=""/>
      <w:lvlJc w:val="left"/>
    </w:lvl>
    <w:lvl w:ilvl="8" w:tplc="E8106C1E">
      <w:numFmt w:val="decimal"/>
      <w:lvlText w:val=""/>
      <w:lvlJc w:val="left"/>
    </w:lvl>
  </w:abstractNum>
  <w:abstractNum w:abstractNumId="2">
    <w:nsid w:val="6B07486A"/>
    <w:multiLevelType w:val="hybridMultilevel"/>
    <w:tmpl w:val="89E0C0A8"/>
    <w:lvl w:ilvl="0" w:tplc="97A28D38">
      <w:start w:val="1"/>
      <w:numFmt w:val="bullet"/>
      <w:lvlText w:val="• "/>
      <w:lvlJc w:val="left"/>
      <w:pPr>
        <w:ind w:hanging="360"/>
      </w:pPr>
    </w:lvl>
    <w:lvl w:ilvl="1" w:tplc="298E7328">
      <w:numFmt w:val="decimal"/>
      <w:lvlText w:val=""/>
      <w:lvlJc w:val="left"/>
    </w:lvl>
    <w:lvl w:ilvl="2" w:tplc="3AB0EEB4">
      <w:numFmt w:val="decimal"/>
      <w:lvlText w:val=""/>
      <w:lvlJc w:val="left"/>
    </w:lvl>
    <w:lvl w:ilvl="3" w:tplc="2CE49B66">
      <w:numFmt w:val="decimal"/>
      <w:lvlText w:val=""/>
      <w:lvlJc w:val="left"/>
    </w:lvl>
    <w:lvl w:ilvl="4" w:tplc="19924796">
      <w:numFmt w:val="decimal"/>
      <w:lvlText w:val=""/>
      <w:lvlJc w:val="left"/>
    </w:lvl>
    <w:lvl w:ilvl="5" w:tplc="CF06C74C">
      <w:numFmt w:val="decimal"/>
      <w:lvlText w:val=""/>
      <w:lvlJc w:val="left"/>
    </w:lvl>
    <w:lvl w:ilvl="6" w:tplc="28883A24">
      <w:numFmt w:val="decimal"/>
      <w:lvlText w:val=""/>
      <w:lvlJc w:val="left"/>
    </w:lvl>
    <w:lvl w:ilvl="7" w:tplc="C226AC8E">
      <w:numFmt w:val="decimal"/>
      <w:lvlText w:val=""/>
      <w:lvlJc w:val="left"/>
    </w:lvl>
    <w:lvl w:ilvl="8" w:tplc="323CA732">
      <w:numFmt w:val="decimal"/>
      <w:lvlText w:val=""/>
      <w:lvlJc w:val="left"/>
    </w:lvl>
  </w:abstractNum>
  <w:abstractNum w:abstractNumId="3">
    <w:nsid w:val="6B765EC7"/>
    <w:multiLevelType w:val="hybridMultilevel"/>
    <w:tmpl w:val="8716FA1C"/>
    <w:lvl w:ilvl="0" w:tplc="B556481C">
      <w:start w:val="1"/>
      <w:numFmt w:val="bullet"/>
      <w:lvlText w:val="• "/>
      <w:lvlJc w:val="left"/>
      <w:pPr>
        <w:ind w:hanging="440"/>
      </w:pPr>
    </w:lvl>
    <w:lvl w:ilvl="1" w:tplc="B7D4D526">
      <w:numFmt w:val="decimal"/>
      <w:lvlText w:val=""/>
      <w:lvlJc w:val="left"/>
    </w:lvl>
    <w:lvl w:ilvl="2" w:tplc="A008E0E8">
      <w:numFmt w:val="decimal"/>
      <w:lvlText w:val=""/>
      <w:lvlJc w:val="left"/>
    </w:lvl>
    <w:lvl w:ilvl="3" w:tplc="CA70BA72">
      <w:numFmt w:val="decimal"/>
      <w:lvlText w:val=""/>
      <w:lvlJc w:val="left"/>
    </w:lvl>
    <w:lvl w:ilvl="4" w:tplc="52223C4C">
      <w:numFmt w:val="decimal"/>
      <w:lvlText w:val=""/>
      <w:lvlJc w:val="left"/>
    </w:lvl>
    <w:lvl w:ilvl="5" w:tplc="8C0628F4">
      <w:numFmt w:val="decimal"/>
      <w:lvlText w:val=""/>
      <w:lvlJc w:val="left"/>
    </w:lvl>
    <w:lvl w:ilvl="6" w:tplc="7DAE072C">
      <w:numFmt w:val="decimal"/>
      <w:lvlText w:val=""/>
      <w:lvlJc w:val="left"/>
    </w:lvl>
    <w:lvl w:ilvl="7" w:tplc="5CD84E9A">
      <w:numFmt w:val="decimal"/>
      <w:lvlText w:val=""/>
      <w:lvlJc w:val="left"/>
    </w:lvl>
    <w:lvl w:ilvl="8" w:tplc="C89A61FE">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39"/>
    <w:rsid w:val="005E0D39"/>
    <w:rsid w:val="007070F7"/>
    <w:rsid w:val="00BA0692"/>
    <w:rsid w:val="00BB2983"/>
    <w:rsid w:val="00DF02D8"/>
    <w:rsid w:val="00EB6850"/>
    <w:rsid w:val="00F0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983"/>
    <w:rPr>
      <w:rFonts w:ascii="Tahoma" w:hAnsi="Tahoma" w:cs="Tahoma"/>
      <w:sz w:val="16"/>
      <w:szCs w:val="16"/>
    </w:rPr>
  </w:style>
  <w:style w:type="character" w:customStyle="1" w:styleId="BalloonTextChar">
    <w:name w:val="Balloon Text Char"/>
    <w:basedOn w:val="DefaultParagraphFont"/>
    <w:link w:val="BalloonText"/>
    <w:uiPriority w:val="99"/>
    <w:semiHidden/>
    <w:rsid w:val="00BB2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983"/>
    <w:rPr>
      <w:rFonts w:ascii="Tahoma" w:hAnsi="Tahoma" w:cs="Tahoma"/>
      <w:sz w:val="16"/>
      <w:szCs w:val="16"/>
    </w:rPr>
  </w:style>
  <w:style w:type="character" w:customStyle="1" w:styleId="BalloonTextChar">
    <w:name w:val="Balloon Text Char"/>
    <w:basedOn w:val="DefaultParagraphFont"/>
    <w:link w:val="BalloonText"/>
    <w:uiPriority w:val="99"/>
    <w:semiHidden/>
    <w:rsid w:val="00BB2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AAM.com</Company>
  <LinksUpToDate>false</LinksUpToDate>
  <CharactersWithSpaces>24483</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workiva.com</dc:creator>
  <cp:lastModifiedBy>Knapp, Andrea</cp:lastModifiedBy>
  <cp:revision>2</cp:revision>
  <dcterms:created xsi:type="dcterms:W3CDTF">2016-11-02T21:38:00Z</dcterms:created>
  <dcterms:modified xsi:type="dcterms:W3CDTF">2016-11-02T21:38:00Z</dcterms:modified>
</cp:coreProperties>
</file>