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A77B3E">
      <w:pPr>
        <w:spacing w:line="288" w:lineRule="auto"/>
        <w:ind w:firstLine="720"/>
        <w:jc w:val="right"/>
        <w:rPr>
          <w:b/>
          <w:sz w:val="20"/>
        </w:rPr>
      </w:pPr>
      <w:bookmarkStart w:id="0" w:name="Section1"/>
      <w:bookmarkEnd w:id="0"/>
    </w:p>
    <w:p w:rsidR="00A77B3E" w:rsidRDefault="00A77B3E">
      <w:pPr>
        <w:spacing w:line="288" w:lineRule="auto"/>
        <w:ind w:firstLine="720"/>
        <w:jc w:val="right"/>
        <w:rPr>
          <w:b/>
          <w:sz w:val="20"/>
        </w:rPr>
      </w:pPr>
    </w:p>
    <w:p w:rsidR="00A77B3E" w:rsidRDefault="00A77B3E" w:rsidP="00AD30C9">
      <w:pPr>
        <w:spacing w:line="288" w:lineRule="auto"/>
        <w:ind w:firstLine="720"/>
        <w:outlineLvl w:val="0"/>
        <w:rPr>
          <w:b/>
          <w:sz w:val="20"/>
        </w:rPr>
      </w:pPr>
      <w:bookmarkStart w:id="1" w:name="_GoBack"/>
      <w:bookmarkEnd w:id="1"/>
    </w:p>
    <w:p w:rsidR="00A77B3E" w:rsidRDefault="00AD30C9">
      <w:pPr>
        <w:spacing w:line="288" w:lineRule="auto"/>
        <w:ind w:firstLine="720"/>
        <w:jc w:val="center"/>
        <w:rPr>
          <w:sz w:val="20"/>
        </w:rPr>
      </w:pPr>
      <w:r>
        <w:rPr>
          <w:noProof/>
        </w:rPr>
        <w:drawing>
          <wp:inline distT="0" distB="0" distL="0" distR="0">
            <wp:extent cx="6680200" cy="143510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6680200" cy="1435100"/>
                    </a:xfrm>
                    <a:prstGeom prst="rect">
                      <a:avLst/>
                    </a:prstGeom>
                    <a:noFill/>
                    <a:ln>
                      <a:noFill/>
                    </a:ln>
                  </pic:spPr>
                </pic:pic>
              </a:graphicData>
            </a:graphic>
          </wp:inline>
        </w:drawing>
      </w:r>
    </w:p>
    <w:p w:rsidR="00A77B3E" w:rsidRDefault="00AD30C9">
      <w:pPr>
        <w:spacing w:line="288" w:lineRule="auto"/>
        <w:ind w:right="360"/>
        <w:jc w:val="center"/>
        <w:rPr>
          <w:b/>
          <w:sz w:val="32"/>
        </w:rPr>
      </w:pPr>
      <w:r>
        <w:rPr>
          <w:b/>
          <w:sz w:val="32"/>
        </w:rPr>
        <w:t xml:space="preserve">AAM Reports </w:t>
      </w:r>
      <w:r>
        <w:rPr>
          <w:b/>
          <w:color w:val="000000"/>
          <w:sz w:val="32"/>
        </w:rPr>
        <w:t>Fourth</w:t>
      </w:r>
      <w:r>
        <w:rPr>
          <w:b/>
          <w:sz w:val="32"/>
        </w:rPr>
        <w:t xml:space="preserve"> Quarter and Full Year </w:t>
      </w:r>
      <w:r>
        <w:rPr>
          <w:b/>
          <w:color w:val="000000"/>
          <w:sz w:val="32"/>
        </w:rPr>
        <w:t>2022</w:t>
      </w:r>
      <w:r>
        <w:rPr>
          <w:b/>
          <w:sz w:val="32"/>
        </w:rPr>
        <w:t xml:space="preserve"> Financial Results</w:t>
      </w:r>
    </w:p>
    <w:p w:rsidR="00A77B3E" w:rsidRDefault="00A77B3E">
      <w:pPr>
        <w:spacing w:line="288" w:lineRule="auto"/>
        <w:ind w:right="360"/>
        <w:jc w:val="center"/>
        <w:rPr>
          <w:b/>
        </w:rPr>
      </w:pPr>
    </w:p>
    <w:p w:rsidR="00A77B3E" w:rsidRDefault="00AD30C9">
      <w:pPr>
        <w:spacing w:line="288" w:lineRule="auto"/>
        <w:ind w:right="360"/>
        <w:jc w:val="center"/>
        <w:rPr>
          <w:b/>
          <w:i/>
        </w:rPr>
      </w:pPr>
      <w:r>
        <w:rPr>
          <w:b/>
          <w:i/>
        </w:rPr>
        <w:t>AAM Concludes 2022 With Strong Cash Flow Delivery</w:t>
      </w:r>
    </w:p>
    <w:p w:rsidR="00A77B3E" w:rsidRDefault="00A77B3E">
      <w:pPr>
        <w:spacing w:line="288" w:lineRule="auto"/>
        <w:ind w:right="360"/>
        <w:jc w:val="center"/>
        <w:rPr>
          <w:b/>
        </w:rPr>
      </w:pPr>
    </w:p>
    <w:p w:rsidR="00A77B3E" w:rsidRDefault="00AD30C9">
      <w:pPr>
        <w:spacing w:before="100" w:after="120" w:line="288" w:lineRule="auto"/>
        <w:rPr>
          <w:sz w:val="20"/>
        </w:rPr>
      </w:pPr>
      <w:r>
        <w:rPr>
          <w:sz w:val="20"/>
        </w:rPr>
        <w:t xml:space="preserve">DETROIT, </w:t>
      </w:r>
      <w:r>
        <w:rPr>
          <w:color w:val="000000"/>
          <w:sz w:val="20"/>
        </w:rPr>
        <w:t>February 17, 2023</w:t>
      </w:r>
      <w:r>
        <w:rPr>
          <w:sz w:val="20"/>
        </w:rPr>
        <w:t xml:space="preserve"> -- American Axle &amp; Manufacturing Holdings, Inc. (AAM), (NYSE: AXL) today reported its financial results for the </w:t>
      </w:r>
      <w:r>
        <w:rPr>
          <w:color w:val="000000"/>
          <w:sz w:val="20"/>
        </w:rPr>
        <w:t>fourth quarter</w:t>
      </w:r>
      <w:r>
        <w:rPr>
          <w:sz w:val="20"/>
        </w:rPr>
        <w:t xml:space="preserve"> and full year </w:t>
      </w:r>
      <w:r>
        <w:rPr>
          <w:color w:val="000000"/>
          <w:sz w:val="20"/>
        </w:rPr>
        <w:t>2022</w:t>
      </w:r>
      <w:r>
        <w:rPr>
          <w:sz w:val="20"/>
        </w:rPr>
        <w:t xml:space="preserve">.  </w:t>
      </w:r>
    </w:p>
    <w:p w:rsidR="00A77B3E" w:rsidRDefault="00AD30C9">
      <w:pPr>
        <w:spacing w:before="180" w:line="288" w:lineRule="auto"/>
        <w:rPr>
          <w:b/>
          <w:sz w:val="20"/>
        </w:rPr>
      </w:pPr>
      <w:r>
        <w:rPr>
          <w:b/>
          <w:color w:val="000000"/>
          <w:sz w:val="20"/>
        </w:rPr>
        <w:t>Fourth Quarter</w:t>
      </w:r>
      <w:r>
        <w:rPr>
          <w:b/>
          <w:sz w:val="20"/>
        </w:rPr>
        <w:t xml:space="preserve"> </w:t>
      </w:r>
      <w:r>
        <w:rPr>
          <w:b/>
          <w:color w:val="000000"/>
          <w:sz w:val="20"/>
        </w:rPr>
        <w:t>2022</w:t>
      </w:r>
      <w:r>
        <w:rPr>
          <w:b/>
          <w:sz w:val="20"/>
        </w:rPr>
        <w:t xml:space="preserve"> Results</w:t>
      </w:r>
    </w:p>
    <w:p w:rsidR="00DE25E4" w:rsidRDefault="00AD30C9">
      <w:pPr>
        <w:numPr>
          <w:ilvl w:val="0"/>
          <w:numId w:val="13"/>
        </w:numPr>
        <w:spacing w:line="288" w:lineRule="auto"/>
        <w:ind w:left="765" w:hanging="405"/>
        <w:rPr>
          <w:sz w:val="20"/>
        </w:rPr>
      </w:pPr>
      <w:r>
        <w:rPr>
          <w:sz w:val="20"/>
        </w:rPr>
        <w:t xml:space="preserve">Sales of </w:t>
      </w:r>
      <w:r>
        <w:rPr>
          <w:color w:val="000000"/>
          <w:sz w:val="20"/>
        </w:rPr>
        <w:t>$1.39 billion</w:t>
      </w:r>
      <w:r>
        <w:rPr>
          <w:sz w:val="20"/>
        </w:rPr>
        <w:t xml:space="preserve"> </w:t>
      </w:r>
    </w:p>
    <w:p w:rsidR="00DE25E4" w:rsidRDefault="00AD30C9">
      <w:pPr>
        <w:numPr>
          <w:ilvl w:val="0"/>
          <w:numId w:val="14"/>
        </w:numPr>
        <w:spacing w:line="288" w:lineRule="auto"/>
        <w:ind w:left="765" w:hanging="405"/>
        <w:rPr>
          <w:sz w:val="20"/>
        </w:rPr>
      </w:pPr>
      <w:r>
        <w:rPr>
          <w:sz w:val="20"/>
        </w:rPr>
        <w:t xml:space="preserve">Net income attributable to AAM of </w:t>
      </w:r>
      <w:r>
        <w:rPr>
          <w:color w:val="000000"/>
          <w:sz w:val="20"/>
        </w:rPr>
        <w:t>$13.9 million</w:t>
      </w:r>
      <w:r>
        <w:rPr>
          <w:sz w:val="20"/>
        </w:rPr>
        <w:t xml:space="preserve">, or </w:t>
      </w:r>
      <w:r>
        <w:rPr>
          <w:color w:val="000000"/>
          <w:sz w:val="20"/>
        </w:rPr>
        <w:t>1.</w:t>
      </w:r>
      <w:r>
        <w:rPr>
          <w:color w:val="000000"/>
          <w:sz w:val="20"/>
        </w:rPr>
        <w:t>0%</w:t>
      </w:r>
      <w:r>
        <w:rPr>
          <w:sz w:val="20"/>
        </w:rPr>
        <w:t xml:space="preserve"> of sales, which includes Malvern fire recoveries, net</w:t>
      </w:r>
    </w:p>
    <w:p w:rsidR="00DE25E4" w:rsidRDefault="00AD30C9">
      <w:pPr>
        <w:numPr>
          <w:ilvl w:val="0"/>
          <w:numId w:val="15"/>
        </w:numPr>
        <w:spacing w:line="288" w:lineRule="auto"/>
        <w:ind w:left="765" w:hanging="405"/>
        <w:rPr>
          <w:sz w:val="20"/>
        </w:rPr>
      </w:pPr>
      <w:r>
        <w:rPr>
          <w:sz w:val="20"/>
        </w:rPr>
        <w:t xml:space="preserve">Adjusted EBITDA of </w:t>
      </w:r>
      <w:r>
        <w:rPr>
          <w:color w:val="000000"/>
          <w:sz w:val="20"/>
        </w:rPr>
        <w:t>$157.7 million</w:t>
      </w:r>
      <w:r>
        <w:rPr>
          <w:sz w:val="20"/>
        </w:rPr>
        <w:t xml:space="preserve">, or </w:t>
      </w:r>
      <w:r>
        <w:rPr>
          <w:color w:val="000000"/>
          <w:sz w:val="20"/>
        </w:rPr>
        <w:t>11.3%</w:t>
      </w:r>
      <w:r>
        <w:rPr>
          <w:sz w:val="20"/>
        </w:rPr>
        <w:t xml:space="preserve"> of sales</w:t>
      </w:r>
    </w:p>
    <w:p w:rsidR="00DE25E4" w:rsidRDefault="00AD30C9">
      <w:pPr>
        <w:numPr>
          <w:ilvl w:val="0"/>
          <w:numId w:val="16"/>
        </w:numPr>
        <w:spacing w:line="288" w:lineRule="auto"/>
        <w:ind w:left="765" w:hanging="405"/>
        <w:rPr>
          <w:sz w:val="20"/>
        </w:rPr>
      </w:pPr>
      <w:r>
        <w:rPr>
          <w:sz w:val="20"/>
        </w:rPr>
        <w:t xml:space="preserve">Diluted earnings per share of </w:t>
      </w:r>
      <w:r>
        <w:rPr>
          <w:color w:val="000000"/>
          <w:sz w:val="20"/>
        </w:rPr>
        <w:t>$0.11</w:t>
      </w:r>
      <w:r>
        <w:rPr>
          <w:sz w:val="20"/>
        </w:rPr>
        <w:t xml:space="preserve">; Adjusted loss per share of </w:t>
      </w:r>
      <w:r>
        <w:rPr>
          <w:color w:val="000000"/>
          <w:sz w:val="20"/>
        </w:rPr>
        <w:t>$(0.07)</w:t>
      </w:r>
      <w:r>
        <w:rPr>
          <w:sz w:val="20"/>
        </w:rPr>
        <w:t xml:space="preserve"> </w:t>
      </w:r>
    </w:p>
    <w:p w:rsidR="00DE25E4" w:rsidRDefault="00AD30C9">
      <w:pPr>
        <w:numPr>
          <w:ilvl w:val="0"/>
          <w:numId w:val="17"/>
        </w:numPr>
        <w:spacing w:line="288" w:lineRule="auto"/>
        <w:ind w:left="765" w:hanging="405"/>
        <w:rPr>
          <w:sz w:val="20"/>
        </w:rPr>
      </w:pPr>
      <w:r>
        <w:rPr>
          <w:sz w:val="20"/>
        </w:rPr>
        <w:t xml:space="preserve">Net cash provided by operating activities of </w:t>
      </w:r>
      <w:r>
        <w:rPr>
          <w:color w:val="000000"/>
          <w:sz w:val="20"/>
        </w:rPr>
        <w:t>$148.5 million</w:t>
      </w:r>
      <w:r>
        <w:rPr>
          <w:sz w:val="20"/>
        </w:rPr>
        <w:t xml:space="preserve">; Adjusted free cash flow of </w:t>
      </w:r>
      <w:r>
        <w:rPr>
          <w:color w:val="000000"/>
          <w:sz w:val="20"/>
        </w:rPr>
        <w:t>$99.0 million</w:t>
      </w:r>
      <w:r>
        <w:rPr>
          <w:sz w:val="20"/>
        </w:rPr>
        <w:t xml:space="preserve"> </w:t>
      </w:r>
    </w:p>
    <w:p w:rsidR="00A77B3E" w:rsidRDefault="00AD30C9">
      <w:pPr>
        <w:spacing w:before="180" w:line="288" w:lineRule="auto"/>
        <w:rPr>
          <w:b/>
          <w:sz w:val="20"/>
        </w:rPr>
      </w:pPr>
      <w:r>
        <w:rPr>
          <w:b/>
          <w:sz w:val="20"/>
        </w:rPr>
        <w:t xml:space="preserve">Full Year </w:t>
      </w:r>
      <w:r>
        <w:rPr>
          <w:b/>
          <w:color w:val="000000"/>
          <w:sz w:val="20"/>
        </w:rPr>
        <w:t>2022</w:t>
      </w:r>
      <w:r>
        <w:rPr>
          <w:b/>
          <w:sz w:val="20"/>
        </w:rPr>
        <w:t xml:space="preserve"> Results</w:t>
      </w:r>
    </w:p>
    <w:p w:rsidR="00DE25E4" w:rsidRDefault="00AD30C9">
      <w:pPr>
        <w:numPr>
          <w:ilvl w:val="0"/>
          <w:numId w:val="18"/>
        </w:numPr>
        <w:spacing w:line="288" w:lineRule="auto"/>
        <w:ind w:left="765" w:hanging="405"/>
        <w:rPr>
          <w:sz w:val="20"/>
        </w:rPr>
      </w:pPr>
      <w:r>
        <w:rPr>
          <w:sz w:val="20"/>
        </w:rPr>
        <w:t xml:space="preserve">Sales of </w:t>
      </w:r>
      <w:r>
        <w:rPr>
          <w:color w:val="000000"/>
          <w:sz w:val="20"/>
        </w:rPr>
        <w:t>$5.80 billion</w:t>
      </w:r>
    </w:p>
    <w:p w:rsidR="00DE25E4" w:rsidRDefault="00AD30C9">
      <w:pPr>
        <w:numPr>
          <w:ilvl w:val="0"/>
          <w:numId w:val="19"/>
        </w:numPr>
        <w:spacing w:line="288" w:lineRule="auto"/>
        <w:ind w:left="765" w:hanging="405"/>
        <w:rPr>
          <w:sz w:val="20"/>
        </w:rPr>
      </w:pPr>
      <w:r>
        <w:rPr>
          <w:sz w:val="20"/>
        </w:rPr>
        <w:t xml:space="preserve">Net income attributable to AAM of </w:t>
      </w:r>
      <w:r>
        <w:rPr>
          <w:color w:val="000000"/>
          <w:sz w:val="20"/>
        </w:rPr>
        <w:t>$64.3 million</w:t>
      </w:r>
      <w:r>
        <w:rPr>
          <w:sz w:val="20"/>
        </w:rPr>
        <w:t xml:space="preserve">, or </w:t>
      </w:r>
      <w:r>
        <w:rPr>
          <w:color w:val="000000"/>
          <w:sz w:val="20"/>
        </w:rPr>
        <w:t>1.1%</w:t>
      </w:r>
      <w:r>
        <w:rPr>
          <w:sz w:val="20"/>
        </w:rPr>
        <w:t xml:space="preserve"> of sales</w:t>
      </w:r>
    </w:p>
    <w:p w:rsidR="00DE25E4" w:rsidRDefault="00AD30C9">
      <w:pPr>
        <w:numPr>
          <w:ilvl w:val="0"/>
          <w:numId w:val="20"/>
        </w:numPr>
        <w:spacing w:line="288" w:lineRule="auto"/>
        <w:ind w:left="765" w:hanging="405"/>
        <w:rPr>
          <w:sz w:val="20"/>
        </w:rPr>
      </w:pPr>
      <w:r>
        <w:rPr>
          <w:sz w:val="20"/>
        </w:rPr>
        <w:t xml:space="preserve">Adjusted EBITDA of </w:t>
      </w:r>
      <w:r>
        <w:rPr>
          <w:color w:val="000000"/>
          <w:sz w:val="20"/>
        </w:rPr>
        <w:t>$747.3 million</w:t>
      </w:r>
      <w:r>
        <w:rPr>
          <w:sz w:val="20"/>
        </w:rPr>
        <w:t xml:space="preserve">, or </w:t>
      </w:r>
      <w:r>
        <w:rPr>
          <w:color w:val="000000"/>
          <w:sz w:val="20"/>
        </w:rPr>
        <w:t>12.</w:t>
      </w:r>
      <w:r>
        <w:rPr>
          <w:color w:val="000000"/>
          <w:sz w:val="20"/>
        </w:rPr>
        <w:t>9%</w:t>
      </w:r>
      <w:r>
        <w:rPr>
          <w:sz w:val="20"/>
        </w:rPr>
        <w:t xml:space="preserve"> of sales</w:t>
      </w:r>
    </w:p>
    <w:p w:rsidR="00DE25E4" w:rsidRDefault="00AD30C9">
      <w:pPr>
        <w:numPr>
          <w:ilvl w:val="0"/>
          <w:numId w:val="21"/>
        </w:numPr>
        <w:spacing w:line="288" w:lineRule="auto"/>
        <w:ind w:left="765" w:hanging="405"/>
        <w:rPr>
          <w:sz w:val="20"/>
        </w:rPr>
      </w:pPr>
      <w:r>
        <w:rPr>
          <w:sz w:val="20"/>
        </w:rPr>
        <w:t xml:space="preserve">Diluted earnings per share of </w:t>
      </w:r>
      <w:r>
        <w:rPr>
          <w:color w:val="000000"/>
          <w:sz w:val="20"/>
        </w:rPr>
        <w:t>$0.53</w:t>
      </w:r>
      <w:r>
        <w:rPr>
          <w:sz w:val="20"/>
        </w:rPr>
        <w:t xml:space="preserve">; Adjusted earnings per share of </w:t>
      </w:r>
      <w:r>
        <w:rPr>
          <w:color w:val="000000"/>
          <w:sz w:val="20"/>
        </w:rPr>
        <w:t>$0.60</w:t>
      </w:r>
      <w:r>
        <w:rPr>
          <w:sz w:val="20"/>
        </w:rPr>
        <w:t xml:space="preserve"> </w:t>
      </w:r>
    </w:p>
    <w:p w:rsidR="00DE25E4" w:rsidRDefault="00AD30C9">
      <w:pPr>
        <w:numPr>
          <w:ilvl w:val="0"/>
          <w:numId w:val="22"/>
        </w:numPr>
        <w:spacing w:line="288" w:lineRule="auto"/>
        <w:ind w:left="765" w:hanging="405"/>
        <w:rPr>
          <w:sz w:val="20"/>
        </w:rPr>
      </w:pPr>
      <w:r>
        <w:rPr>
          <w:sz w:val="20"/>
        </w:rPr>
        <w:t xml:space="preserve">Net cash provided by operating activities of </w:t>
      </w:r>
      <w:r>
        <w:rPr>
          <w:color w:val="000000"/>
          <w:sz w:val="20"/>
        </w:rPr>
        <w:t>$448.9 million</w:t>
      </w:r>
      <w:r>
        <w:rPr>
          <w:sz w:val="20"/>
        </w:rPr>
        <w:t xml:space="preserve">; Adjusted free cash flow of </w:t>
      </w:r>
      <w:r>
        <w:rPr>
          <w:color w:val="000000"/>
          <w:sz w:val="20"/>
        </w:rPr>
        <w:t>$313.0 million</w:t>
      </w:r>
    </w:p>
    <w:p w:rsidR="00A77B3E" w:rsidRDefault="00A77B3E">
      <w:pPr>
        <w:spacing w:line="269" w:lineRule="auto"/>
        <w:rPr>
          <w:rFonts w:ascii="Calibri" w:eastAsia="Calibri" w:hAnsi="Calibri" w:cs="Calibri"/>
          <w:color w:val="000000"/>
          <w:sz w:val="22"/>
          <w:shd w:val="clear" w:color="auto" w:fill="FFDE0F"/>
        </w:rPr>
      </w:pPr>
    </w:p>
    <w:p w:rsidR="00A77B3E" w:rsidRDefault="00AD30C9">
      <w:pPr>
        <w:spacing w:line="269" w:lineRule="auto"/>
        <w:rPr>
          <w:rFonts w:ascii="Calibri" w:eastAsia="Calibri" w:hAnsi="Calibri" w:cs="Calibri"/>
          <w:color w:val="4A4A4A"/>
          <w:sz w:val="22"/>
          <w:shd w:val="clear" w:color="auto" w:fill="FFFFFF"/>
        </w:rPr>
      </w:pPr>
      <w:r>
        <w:rPr>
          <w:color w:val="000000"/>
          <w:sz w:val="20"/>
          <w:shd w:val="clear" w:color="auto" w:fill="FFFFFF"/>
        </w:rPr>
        <w:t xml:space="preserve">"AAM delivered strong cash flow </w:t>
      </w:r>
      <w:r>
        <w:rPr>
          <w:color w:val="000000"/>
          <w:sz w:val="20"/>
          <w:shd w:val="clear" w:color="auto" w:fill="FFFFFF"/>
        </w:rPr>
        <w:t>performance in 2022 while navigating customer production schedule volatility and ongoing supply chain challenges,” said AAM’s Chairman and Chief Executive Officer, David C. Dauch. “In the pivot to electrification, AAM continues to bring the future faster w</w:t>
      </w:r>
      <w:r>
        <w:rPr>
          <w:color w:val="000000"/>
          <w:sz w:val="20"/>
          <w:shd w:val="clear" w:color="auto" w:fill="FFFFFF"/>
        </w:rPr>
        <w:t xml:space="preserve">ith sophisticated industry-leading electric drive technology resulting in an expanding electrification business mix within our $725 million new business backlog." </w:t>
      </w:r>
    </w:p>
    <w:p w:rsidR="00A77B3E" w:rsidRDefault="00A77B3E">
      <w:pPr>
        <w:spacing w:line="276" w:lineRule="auto"/>
        <w:rPr>
          <w:sz w:val="20"/>
        </w:rPr>
      </w:pPr>
    </w:p>
    <w:p w:rsidR="00A77B3E" w:rsidRDefault="00AD30C9">
      <w:pPr>
        <w:spacing w:line="276" w:lineRule="auto"/>
        <w:rPr>
          <w:sz w:val="20"/>
        </w:rPr>
      </w:pPr>
      <w:r>
        <w:rPr>
          <w:sz w:val="20"/>
        </w:rPr>
        <w:t xml:space="preserve">AAM's sales in the </w:t>
      </w:r>
      <w:r>
        <w:rPr>
          <w:color w:val="000000"/>
          <w:sz w:val="20"/>
        </w:rPr>
        <w:t>fourth quarter</w:t>
      </w:r>
      <w:r>
        <w:rPr>
          <w:sz w:val="20"/>
        </w:rPr>
        <w:t xml:space="preserve"> of </w:t>
      </w:r>
      <w:r>
        <w:rPr>
          <w:color w:val="000000"/>
          <w:sz w:val="20"/>
        </w:rPr>
        <w:t>2022</w:t>
      </w:r>
      <w:r>
        <w:rPr>
          <w:sz w:val="20"/>
        </w:rPr>
        <w:t xml:space="preserve"> were </w:t>
      </w:r>
      <w:r>
        <w:rPr>
          <w:color w:val="000000"/>
          <w:sz w:val="20"/>
        </w:rPr>
        <w:t>$1.39 billion</w:t>
      </w:r>
      <w:r>
        <w:rPr>
          <w:sz w:val="20"/>
        </w:rPr>
        <w:t xml:space="preserve"> as compared to </w:t>
      </w:r>
      <w:r>
        <w:rPr>
          <w:color w:val="000000"/>
          <w:sz w:val="20"/>
        </w:rPr>
        <w:t>$1.24 billion</w:t>
      </w:r>
      <w:r>
        <w:rPr>
          <w:sz w:val="20"/>
        </w:rPr>
        <w:t xml:space="preserve"> i</w:t>
      </w:r>
      <w:r>
        <w:rPr>
          <w:sz w:val="20"/>
        </w:rPr>
        <w:t xml:space="preserve">n the </w:t>
      </w:r>
      <w:r>
        <w:rPr>
          <w:color w:val="000000"/>
          <w:sz w:val="20"/>
        </w:rPr>
        <w:t>fourth quarter</w:t>
      </w:r>
      <w:r>
        <w:rPr>
          <w:sz w:val="20"/>
        </w:rPr>
        <w:t xml:space="preserve"> of </w:t>
      </w:r>
      <w:r>
        <w:rPr>
          <w:color w:val="000000"/>
          <w:sz w:val="20"/>
        </w:rPr>
        <w:t>2021</w:t>
      </w:r>
      <w:r>
        <w:rPr>
          <w:sz w:val="20"/>
        </w:rPr>
        <w:t xml:space="preserve">. Sales for the </w:t>
      </w:r>
      <w:r>
        <w:rPr>
          <w:color w:val="000000"/>
          <w:sz w:val="20"/>
        </w:rPr>
        <w:t>fourth quarter</w:t>
      </w:r>
      <w:r>
        <w:rPr>
          <w:sz w:val="20"/>
        </w:rPr>
        <w:t xml:space="preserve"> of </w:t>
      </w:r>
      <w:r>
        <w:rPr>
          <w:color w:val="000000"/>
          <w:sz w:val="20"/>
        </w:rPr>
        <w:t>2022</w:t>
      </w:r>
      <w:r>
        <w:rPr>
          <w:sz w:val="20"/>
        </w:rPr>
        <w:t xml:space="preserve"> were favorably impacted by the </w:t>
      </w:r>
      <w:proofErr w:type="spellStart"/>
      <w:r>
        <w:rPr>
          <w:sz w:val="20"/>
        </w:rPr>
        <w:t>Tekfor</w:t>
      </w:r>
      <w:proofErr w:type="spellEnd"/>
      <w:r>
        <w:rPr>
          <w:sz w:val="20"/>
        </w:rPr>
        <w:t xml:space="preserve"> acquisition and volume and mix.     </w:t>
      </w:r>
    </w:p>
    <w:p w:rsidR="00A77B3E" w:rsidRDefault="00A77B3E">
      <w:pPr>
        <w:spacing w:line="276" w:lineRule="auto"/>
        <w:rPr>
          <w:sz w:val="20"/>
        </w:rPr>
      </w:pPr>
    </w:p>
    <w:p w:rsidR="00A77B3E" w:rsidRDefault="00AD30C9">
      <w:pPr>
        <w:spacing w:line="276" w:lineRule="auto"/>
        <w:rPr>
          <w:sz w:val="20"/>
        </w:rPr>
      </w:pPr>
      <w:r>
        <w:rPr>
          <w:sz w:val="20"/>
        </w:rPr>
        <w:t xml:space="preserve">AAM's sales for full year </w:t>
      </w:r>
      <w:r>
        <w:rPr>
          <w:color w:val="000000"/>
          <w:sz w:val="20"/>
        </w:rPr>
        <w:t>2022</w:t>
      </w:r>
      <w:r>
        <w:rPr>
          <w:sz w:val="20"/>
        </w:rPr>
        <w:t xml:space="preserve"> were </w:t>
      </w:r>
      <w:r>
        <w:rPr>
          <w:color w:val="000000"/>
          <w:sz w:val="20"/>
        </w:rPr>
        <w:t>$5.80 billion</w:t>
      </w:r>
      <w:r>
        <w:rPr>
          <w:sz w:val="20"/>
        </w:rPr>
        <w:t xml:space="preserve"> as compared to </w:t>
      </w:r>
      <w:r>
        <w:rPr>
          <w:color w:val="000000"/>
          <w:sz w:val="20"/>
        </w:rPr>
        <w:t>$5.16 billion</w:t>
      </w:r>
      <w:r>
        <w:rPr>
          <w:sz w:val="20"/>
        </w:rPr>
        <w:t xml:space="preserve"> for full year </w:t>
      </w:r>
      <w:r>
        <w:rPr>
          <w:color w:val="000000"/>
          <w:sz w:val="20"/>
        </w:rPr>
        <w:t>2021</w:t>
      </w:r>
      <w:r>
        <w:rPr>
          <w:sz w:val="20"/>
        </w:rPr>
        <w:t>. The increase i</w:t>
      </w:r>
      <w:r>
        <w:rPr>
          <w:sz w:val="20"/>
        </w:rPr>
        <w:t xml:space="preserve">s attributable to the </w:t>
      </w:r>
      <w:proofErr w:type="spellStart"/>
      <w:r>
        <w:rPr>
          <w:sz w:val="20"/>
        </w:rPr>
        <w:t>Tekfor</w:t>
      </w:r>
      <w:proofErr w:type="spellEnd"/>
      <w:r>
        <w:rPr>
          <w:sz w:val="20"/>
        </w:rPr>
        <w:t xml:space="preserve"> acquisition and production growth, although schedules remained volatile throughout the year.    </w:t>
      </w:r>
    </w:p>
    <w:p w:rsidR="00A77B3E" w:rsidRDefault="00A77B3E">
      <w:pPr>
        <w:spacing w:line="276" w:lineRule="auto"/>
        <w:rPr>
          <w:sz w:val="20"/>
        </w:rPr>
      </w:pPr>
    </w:p>
    <w:p w:rsidR="00A77B3E" w:rsidRDefault="00AD30C9">
      <w:pPr>
        <w:spacing w:line="276" w:lineRule="auto"/>
        <w:rPr>
          <w:sz w:val="20"/>
        </w:rPr>
      </w:pPr>
      <w:r>
        <w:rPr>
          <w:sz w:val="20"/>
        </w:rPr>
        <w:t xml:space="preserve">AAM's net income in the </w:t>
      </w:r>
      <w:r>
        <w:rPr>
          <w:color w:val="000000"/>
          <w:sz w:val="20"/>
        </w:rPr>
        <w:t>fourth quarter</w:t>
      </w:r>
      <w:r>
        <w:rPr>
          <w:sz w:val="20"/>
        </w:rPr>
        <w:t xml:space="preserve"> of </w:t>
      </w:r>
      <w:r>
        <w:rPr>
          <w:color w:val="000000"/>
          <w:sz w:val="20"/>
        </w:rPr>
        <w:t>2022</w:t>
      </w:r>
      <w:r>
        <w:rPr>
          <w:sz w:val="20"/>
        </w:rPr>
        <w:t xml:space="preserve"> was </w:t>
      </w:r>
      <w:r>
        <w:rPr>
          <w:color w:val="000000"/>
          <w:sz w:val="20"/>
        </w:rPr>
        <w:t>$13.9 million</w:t>
      </w:r>
      <w:r>
        <w:rPr>
          <w:sz w:val="20"/>
        </w:rPr>
        <w:t xml:space="preserve">, or </w:t>
      </w:r>
      <w:r>
        <w:rPr>
          <w:color w:val="000000"/>
          <w:sz w:val="20"/>
        </w:rPr>
        <w:t>$0.11</w:t>
      </w:r>
      <w:r>
        <w:rPr>
          <w:sz w:val="20"/>
        </w:rPr>
        <w:t xml:space="preserve"> per share, as compared to a net loss of </w:t>
      </w:r>
      <w:r>
        <w:rPr>
          <w:color w:val="000000"/>
          <w:sz w:val="20"/>
        </w:rPr>
        <w:t>$(46.3) millio</w:t>
      </w:r>
      <w:r>
        <w:rPr>
          <w:color w:val="000000"/>
          <w:sz w:val="20"/>
        </w:rPr>
        <w:t>n</w:t>
      </w:r>
      <w:r>
        <w:rPr>
          <w:sz w:val="20"/>
        </w:rPr>
        <w:t xml:space="preserve">, or </w:t>
      </w:r>
      <w:r>
        <w:rPr>
          <w:color w:val="000000"/>
          <w:sz w:val="20"/>
        </w:rPr>
        <w:t>$(0.41)</w:t>
      </w:r>
      <w:r>
        <w:rPr>
          <w:sz w:val="20"/>
        </w:rPr>
        <w:t xml:space="preserve"> per share in the </w:t>
      </w:r>
      <w:r>
        <w:rPr>
          <w:color w:val="000000"/>
          <w:sz w:val="20"/>
        </w:rPr>
        <w:t>fourth quarter</w:t>
      </w:r>
      <w:r>
        <w:rPr>
          <w:sz w:val="20"/>
        </w:rPr>
        <w:t xml:space="preserve"> of </w:t>
      </w:r>
      <w:r>
        <w:rPr>
          <w:color w:val="000000"/>
          <w:sz w:val="20"/>
        </w:rPr>
        <w:t>2021</w:t>
      </w:r>
      <w:r>
        <w:rPr>
          <w:sz w:val="20"/>
        </w:rPr>
        <w:t xml:space="preserve">.  AAM's net income for full year </w:t>
      </w:r>
      <w:r>
        <w:rPr>
          <w:color w:val="000000"/>
          <w:sz w:val="20"/>
        </w:rPr>
        <w:t>2022</w:t>
      </w:r>
      <w:r>
        <w:rPr>
          <w:sz w:val="20"/>
        </w:rPr>
        <w:t xml:space="preserve"> was </w:t>
      </w:r>
      <w:r>
        <w:rPr>
          <w:color w:val="000000"/>
          <w:sz w:val="20"/>
        </w:rPr>
        <w:t>$64.3 million</w:t>
      </w:r>
      <w:r>
        <w:rPr>
          <w:sz w:val="20"/>
        </w:rPr>
        <w:t xml:space="preserve">, or </w:t>
      </w:r>
      <w:r>
        <w:rPr>
          <w:color w:val="000000"/>
          <w:sz w:val="20"/>
        </w:rPr>
        <w:t>$0.53</w:t>
      </w:r>
    </w:p>
    <w:p w:rsidR="00A77B3E" w:rsidRDefault="00AD30C9">
      <w:pPr>
        <w:spacing w:line="288" w:lineRule="auto"/>
        <w:rPr>
          <w:sz w:val="20"/>
        </w:rPr>
      </w:pPr>
      <w:r>
        <w:rPr>
          <w:sz w:val="20"/>
        </w:rPr>
        <w:t xml:space="preserve">per share, as compared to net income of </w:t>
      </w:r>
      <w:r>
        <w:rPr>
          <w:color w:val="000000"/>
          <w:sz w:val="20"/>
        </w:rPr>
        <w:t>$5.9 million</w:t>
      </w:r>
      <w:r>
        <w:rPr>
          <w:sz w:val="20"/>
        </w:rPr>
        <w:t xml:space="preserve">, or </w:t>
      </w:r>
      <w:r>
        <w:rPr>
          <w:color w:val="000000"/>
          <w:sz w:val="20"/>
        </w:rPr>
        <w:t>$0.05</w:t>
      </w:r>
      <w:r>
        <w:rPr>
          <w:sz w:val="20"/>
        </w:rPr>
        <w:t xml:space="preserve"> per share, for full year </w:t>
      </w:r>
      <w:r>
        <w:rPr>
          <w:color w:val="000000"/>
          <w:sz w:val="20"/>
        </w:rPr>
        <w:t>2021</w:t>
      </w:r>
      <w:r>
        <w:rPr>
          <w:sz w:val="20"/>
        </w:rPr>
        <w:t xml:space="preserve">. </w:t>
      </w:r>
    </w:p>
    <w:p w:rsidR="00A77B3E" w:rsidRDefault="00A77B3E">
      <w:pPr>
        <w:spacing w:line="276" w:lineRule="auto"/>
        <w:rPr>
          <w:sz w:val="17"/>
        </w:rPr>
      </w:pPr>
    </w:p>
    <w:p w:rsidR="00A77B3E" w:rsidRDefault="00AD30C9">
      <w:pPr>
        <w:spacing w:line="276" w:lineRule="auto"/>
        <w:rPr>
          <w:sz w:val="20"/>
        </w:rPr>
      </w:pPr>
      <w:r>
        <w:rPr>
          <w:sz w:val="20"/>
        </w:rPr>
        <w:t>AAM defines Adjusted earnings (loss) per share to be diluted earnings (loss) per share excluding the impact of restructuring and acquisition-related costs, debt refinancing and redemption costs, loss on sale of business, impairment charges, pension settlem</w:t>
      </w:r>
      <w:r>
        <w:rPr>
          <w:sz w:val="20"/>
        </w:rPr>
        <w:t xml:space="preserve">ents, certain accelerated depreciation, unrealized gains or losses on equity securities and non-recurring items, including the tax effect thereon.  Adjusted loss per share in the </w:t>
      </w:r>
      <w:r>
        <w:rPr>
          <w:color w:val="000000"/>
          <w:sz w:val="20"/>
        </w:rPr>
        <w:t>fourth quarter</w:t>
      </w:r>
      <w:r>
        <w:rPr>
          <w:sz w:val="20"/>
        </w:rPr>
        <w:t xml:space="preserve"> of </w:t>
      </w:r>
      <w:r>
        <w:rPr>
          <w:color w:val="000000"/>
          <w:sz w:val="20"/>
        </w:rPr>
        <w:t>2022</w:t>
      </w:r>
      <w:r>
        <w:rPr>
          <w:sz w:val="20"/>
        </w:rPr>
        <w:t xml:space="preserve"> was </w:t>
      </w:r>
      <w:r>
        <w:rPr>
          <w:color w:val="000000"/>
          <w:sz w:val="20"/>
        </w:rPr>
        <w:t>$(0.07)</w:t>
      </w:r>
      <w:r>
        <w:rPr>
          <w:sz w:val="20"/>
        </w:rPr>
        <w:t xml:space="preserve"> compared to Adjusted loss per share of </w:t>
      </w:r>
      <w:r>
        <w:rPr>
          <w:color w:val="000000"/>
          <w:sz w:val="20"/>
        </w:rPr>
        <w:t>$(0</w:t>
      </w:r>
      <w:r>
        <w:rPr>
          <w:color w:val="000000"/>
          <w:sz w:val="20"/>
        </w:rPr>
        <w:t>.09)</w:t>
      </w:r>
      <w:r>
        <w:rPr>
          <w:sz w:val="20"/>
        </w:rPr>
        <w:t xml:space="preserve"> in the </w:t>
      </w:r>
      <w:r>
        <w:rPr>
          <w:color w:val="000000"/>
          <w:sz w:val="20"/>
        </w:rPr>
        <w:t>fourth quarter</w:t>
      </w:r>
      <w:r>
        <w:rPr>
          <w:sz w:val="20"/>
        </w:rPr>
        <w:t xml:space="preserve"> of </w:t>
      </w:r>
      <w:r>
        <w:rPr>
          <w:color w:val="000000"/>
          <w:sz w:val="20"/>
        </w:rPr>
        <w:t>2021</w:t>
      </w:r>
      <w:r>
        <w:rPr>
          <w:sz w:val="20"/>
        </w:rPr>
        <w:t xml:space="preserve">. Adjusted earnings per share for full year </w:t>
      </w:r>
      <w:r>
        <w:rPr>
          <w:color w:val="000000"/>
          <w:sz w:val="20"/>
        </w:rPr>
        <w:t>2022</w:t>
      </w:r>
      <w:r>
        <w:rPr>
          <w:sz w:val="20"/>
        </w:rPr>
        <w:t xml:space="preserve"> were </w:t>
      </w:r>
      <w:r>
        <w:rPr>
          <w:color w:val="000000"/>
          <w:sz w:val="20"/>
        </w:rPr>
        <w:t>$0.60</w:t>
      </w:r>
      <w:r>
        <w:rPr>
          <w:sz w:val="20"/>
        </w:rPr>
        <w:t xml:space="preserve"> compared to </w:t>
      </w:r>
      <w:r>
        <w:rPr>
          <w:color w:val="000000"/>
          <w:sz w:val="20"/>
        </w:rPr>
        <w:t>$0.93</w:t>
      </w:r>
      <w:r>
        <w:rPr>
          <w:sz w:val="20"/>
        </w:rPr>
        <w:t xml:space="preserve"> for full year </w:t>
      </w:r>
      <w:r>
        <w:rPr>
          <w:color w:val="000000"/>
          <w:sz w:val="20"/>
        </w:rPr>
        <w:t>2021</w:t>
      </w:r>
      <w:r>
        <w:rPr>
          <w:sz w:val="20"/>
        </w:rPr>
        <w:t>.</w:t>
      </w:r>
    </w:p>
    <w:p w:rsidR="00A77B3E" w:rsidRDefault="00A77B3E">
      <w:pPr>
        <w:spacing w:line="276" w:lineRule="auto"/>
        <w:rPr>
          <w:sz w:val="20"/>
        </w:rPr>
      </w:pPr>
    </w:p>
    <w:p w:rsidR="00A77B3E" w:rsidRDefault="00A77B3E">
      <w:pPr>
        <w:spacing w:line="276" w:lineRule="auto"/>
        <w:rPr>
          <w:sz w:val="20"/>
        </w:rPr>
      </w:pPr>
    </w:p>
    <w:p w:rsidR="00A77B3E" w:rsidRDefault="00A77B3E">
      <w:pPr>
        <w:spacing w:line="276" w:lineRule="auto"/>
        <w:rPr>
          <w:sz w:val="20"/>
        </w:rPr>
      </w:pPr>
    </w:p>
    <w:p w:rsidR="00A77B3E" w:rsidRDefault="00A77B3E">
      <w:pPr>
        <w:spacing w:line="276" w:lineRule="auto"/>
        <w:rPr>
          <w:sz w:val="20"/>
        </w:rPr>
      </w:pPr>
    </w:p>
    <w:p w:rsidR="00A77B3E" w:rsidRDefault="00AD30C9">
      <w:pPr>
        <w:spacing w:line="276" w:lineRule="auto"/>
        <w:rPr>
          <w:sz w:val="17"/>
        </w:rPr>
      </w:pPr>
      <w:r>
        <w:rPr>
          <w:sz w:val="20"/>
        </w:rPr>
        <w:lastRenderedPageBreak/>
        <w:t xml:space="preserve">AAM defines EBITDA to be earnings before interest expense, income taxes, depreciation and amortization. Adjusted EBITDA </w:t>
      </w:r>
      <w:r>
        <w:rPr>
          <w:sz w:val="20"/>
        </w:rPr>
        <w:t>is defined as EBITDA excluding the impact of restructuring and acquisition-related costs, debt refinancing and redemption costs, loss on sale of business, impairment charges, pension settlements, unrealized gains or losses on equity securities and non-recu</w:t>
      </w:r>
      <w:r>
        <w:rPr>
          <w:sz w:val="20"/>
        </w:rPr>
        <w:t xml:space="preserve">rring items.  In the </w:t>
      </w:r>
      <w:r>
        <w:rPr>
          <w:color w:val="000000"/>
          <w:sz w:val="20"/>
        </w:rPr>
        <w:t>fourth quarter</w:t>
      </w:r>
      <w:r>
        <w:rPr>
          <w:sz w:val="20"/>
        </w:rPr>
        <w:t xml:space="preserve"> of </w:t>
      </w:r>
      <w:r>
        <w:rPr>
          <w:color w:val="000000"/>
          <w:sz w:val="20"/>
        </w:rPr>
        <w:t>2022</w:t>
      </w:r>
      <w:r>
        <w:rPr>
          <w:sz w:val="20"/>
        </w:rPr>
        <w:t xml:space="preserve">, Adjusted EBITDA was </w:t>
      </w:r>
      <w:r>
        <w:rPr>
          <w:color w:val="000000"/>
          <w:sz w:val="20"/>
        </w:rPr>
        <w:t>$157.7 million</w:t>
      </w:r>
      <w:r>
        <w:rPr>
          <w:sz w:val="20"/>
        </w:rPr>
        <w:t xml:space="preserve">, or </w:t>
      </w:r>
      <w:r>
        <w:rPr>
          <w:color w:val="000000"/>
          <w:sz w:val="20"/>
        </w:rPr>
        <w:t>11.3%</w:t>
      </w:r>
      <w:r>
        <w:rPr>
          <w:sz w:val="20"/>
        </w:rPr>
        <w:t xml:space="preserve"> of sales, as compared to </w:t>
      </w:r>
      <w:r>
        <w:rPr>
          <w:color w:val="000000"/>
          <w:sz w:val="20"/>
        </w:rPr>
        <w:t>$164.6 million</w:t>
      </w:r>
      <w:r>
        <w:rPr>
          <w:sz w:val="20"/>
        </w:rPr>
        <w:t xml:space="preserve">, or </w:t>
      </w:r>
      <w:r>
        <w:rPr>
          <w:color w:val="000000"/>
          <w:sz w:val="20"/>
        </w:rPr>
        <w:t>13.3%</w:t>
      </w:r>
      <w:r>
        <w:rPr>
          <w:sz w:val="20"/>
        </w:rPr>
        <w:t xml:space="preserve"> of sales, in the </w:t>
      </w:r>
      <w:r>
        <w:rPr>
          <w:color w:val="000000"/>
          <w:sz w:val="20"/>
        </w:rPr>
        <w:t>fourth quarter</w:t>
      </w:r>
      <w:r>
        <w:rPr>
          <w:sz w:val="20"/>
        </w:rPr>
        <w:t xml:space="preserve"> of </w:t>
      </w:r>
      <w:r>
        <w:rPr>
          <w:color w:val="000000"/>
          <w:sz w:val="20"/>
        </w:rPr>
        <w:t>2021</w:t>
      </w:r>
      <w:r>
        <w:rPr>
          <w:sz w:val="20"/>
        </w:rPr>
        <w:t>.</w:t>
      </w:r>
    </w:p>
    <w:p w:rsidR="00A77B3E" w:rsidRDefault="00A77B3E">
      <w:pPr>
        <w:spacing w:line="276" w:lineRule="auto"/>
        <w:rPr>
          <w:sz w:val="20"/>
        </w:rPr>
      </w:pPr>
    </w:p>
    <w:p w:rsidR="00A77B3E" w:rsidRDefault="00AD30C9">
      <w:pPr>
        <w:spacing w:before="120" w:line="276" w:lineRule="auto"/>
        <w:ind w:right="225"/>
        <w:rPr>
          <w:color w:val="000000"/>
          <w:sz w:val="17"/>
          <w:shd w:val="clear" w:color="auto" w:fill="FFFF00"/>
        </w:rPr>
      </w:pPr>
      <w:r>
        <w:rPr>
          <w:sz w:val="20"/>
        </w:rPr>
        <w:t xml:space="preserve">For full year </w:t>
      </w:r>
      <w:r>
        <w:rPr>
          <w:color w:val="000000"/>
          <w:sz w:val="20"/>
        </w:rPr>
        <w:t>2022</w:t>
      </w:r>
      <w:r>
        <w:rPr>
          <w:sz w:val="20"/>
        </w:rPr>
        <w:t xml:space="preserve">, AAM's Adjusted EBITDA was </w:t>
      </w:r>
      <w:r>
        <w:rPr>
          <w:color w:val="000000"/>
          <w:sz w:val="20"/>
        </w:rPr>
        <w:t>$747.3 million</w:t>
      </w:r>
      <w:r>
        <w:rPr>
          <w:sz w:val="20"/>
        </w:rPr>
        <w:t xml:space="preserve">, or </w:t>
      </w:r>
      <w:r>
        <w:rPr>
          <w:color w:val="000000"/>
          <w:sz w:val="20"/>
        </w:rPr>
        <w:t>12.9%</w:t>
      </w:r>
      <w:r>
        <w:rPr>
          <w:sz w:val="20"/>
        </w:rPr>
        <w:t xml:space="preserve"> of </w:t>
      </w:r>
      <w:r>
        <w:rPr>
          <w:sz w:val="20"/>
        </w:rPr>
        <w:t xml:space="preserve">sales, as compared to </w:t>
      </w:r>
      <w:r>
        <w:rPr>
          <w:color w:val="000000"/>
          <w:sz w:val="20"/>
        </w:rPr>
        <w:t>$833.3 million</w:t>
      </w:r>
      <w:r>
        <w:rPr>
          <w:sz w:val="20"/>
        </w:rPr>
        <w:t xml:space="preserve">, or </w:t>
      </w:r>
      <w:r>
        <w:rPr>
          <w:color w:val="000000"/>
          <w:sz w:val="20"/>
        </w:rPr>
        <w:t>16.2%</w:t>
      </w:r>
      <w:r>
        <w:rPr>
          <w:sz w:val="20"/>
        </w:rPr>
        <w:t xml:space="preserve"> of sales, in </w:t>
      </w:r>
      <w:r>
        <w:rPr>
          <w:color w:val="000000"/>
          <w:sz w:val="20"/>
        </w:rPr>
        <w:t>2021</w:t>
      </w:r>
      <w:r>
        <w:rPr>
          <w:sz w:val="20"/>
        </w:rPr>
        <w:t xml:space="preserve">.  </w:t>
      </w:r>
    </w:p>
    <w:p w:rsidR="00A77B3E" w:rsidRDefault="00A77B3E">
      <w:pPr>
        <w:spacing w:line="276" w:lineRule="auto"/>
        <w:rPr>
          <w:sz w:val="20"/>
        </w:rPr>
      </w:pPr>
    </w:p>
    <w:p w:rsidR="00A77B3E" w:rsidRDefault="00AD30C9">
      <w:pPr>
        <w:spacing w:line="276" w:lineRule="auto"/>
        <w:rPr>
          <w:color w:val="000000"/>
          <w:sz w:val="17"/>
          <w:shd w:val="clear" w:color="auto" w:fill="FFFF00"/>
        </w:rPr>
      </w:pPr>
      <w:r>
        <w:rPr>
          <w:sz w:val="20"/>
        </w:rPr>
        <w:t xml:space="preserve">AAM's net cash provided by operating activities for the </w:t>
      </w:r>
      <w:r>
        <w:rPr>
          <w:color w:val="000000"/>
          <w:sz w:val="20"/>
        </w:rPr>
        <w:t>fourth quarter</w:t>
      </w:r>
      <w:r>
        <w:rPr>
          <w:sz w:val="20"/>
        </w:rPr>
        <w:t xml:space="preserve"> of </w:t>
      </w:r>
      <w:r>
        <w:rPr>
          <w:color w:val="000000"/>
          <w:sz w:val="20"/>
        </w:rPr>
        <w:t>2022</w:t>
      </w:r>
      <w:r>
        <w:rPr>
          <w:sz w:val="20"/>
        </w:rPr>
        <w:t xml:space="preserve"> was </w:t>
      </w:r>
      <w:r>
        <w:rPr>
          <w:color w:val="000000"/>
          <w:sz w:val="20"/>
        </w:rPr>
        <w:t>$148.5 million</w:t>
      </w:r>
      <w:r>
        <w:rPr>
          <w:sz w:val="20"/>
        </w:rPr>
        <w:t xml:space="preserve"> as compared to </w:t>
      </w:r>
      <w:r>
        <w:rPr>
          <w:color w:val="000000"/>
          <w:sz w:val="20"/>
        </w:rPr>
        <w:t>$102.4 million</w:t>
      </w:r>
      <w:r>
        <w:rPr>
          <w:sz w:val="20"/>
        </w:rPr>
        <w:t xml:space="preserve"> for the </w:t>
      </w:r>
      <w:r>
        <w:rPr>
          <w:color w:val="000000"/>
          <w:sz w:val="20"/>
        </w:rPr>
        <w:t>fourth quarter</w:t>
      </w:r>
      <w:r>
        <w:rPr>
          <w:sz w:val="20"/>
        </w:rPr>
        <w:t xml:space="preserve"> of </w:t>
      </w:r>
      <w:r>
        <w:rPr>
          <w:color w:val="000000"/>
          <w:sz w:val="20"/>
        </w:rPr>
        <w:t>2021</w:t>
      </w:r>
      <w:r>
        <w:rPr>
          <w:sz w:val="20"/>
        </w:rPr>
        <w:t>.  AAM's net cash provided by</w:t>
      </w:r>
      <w:r>
        <w:rPr>
          <w:sz w:val="20"/>
        </w:rPr>
        <w:t xml:space="preserve"> operating activities for full year </w:t>
      </w:r>
      <w:r>
        <w:rPr>
          <w:color w:val="000000"/>
          <w:sz w:val="20"/>
        </w:rPr>
        <w:t>2022</w:t>
      </w:r>
      <w:r>
        <w:rPr>
          <w:sz w:val="20"/>
        </w:rPr>
        <w:t xml:space="preserve"> was </w:t>
      </w:r>
      <w:r>
        <w:rPr>
          <w:color w:val="000000"/>
          <w:sz w:val="20"/>
        </w:rPr>
        <w:t>$448.9 million</w:t>
      </w:r>
      <w:r>
        <w:rPr>
          <w:sz w:val="20"/>
        </w:rPr>
        <w:t xml:space="preserve"> as compared to </w:t>
      </w:r>
      <w:r>
        <w:rPr>
          <w:color w:val="000000"/>
          <w:sz w:val="20"/>
        </w:rPr>
        <w:t>$538.4 million</w:t>
      </w:r>
      <w:r>
        <w:rPr>
          <w:sz w:val="20"/>
        </w:rPr>
        <w:t xml:space="preserve"> for full year </w:t>
      </w:r>
      <w:r>
        <w:rPr>
          <w:color w:val="000000"/>
          <w:sz w:val="20"/>
        </w:rPr>
        <w:t>2021</w:t>
      </w:r>
      <w:r>
        <w:rPr>
          <w:sz w:val="20"/>
        </w:rPr>
        <w:t xml:space="preserve">. </w:t>
      </w:r>
    </w:p>
    <w:p w:rsidR="00A77B3E" w:rsidRDefault="00A77B3E">
      <w:pPr>
        <w:spacing w:line="276" w:lineRule="auto"/>
        <w:rPr>
          <w:sz w:val="20"/>
        </w:rPr>
      </w:pPr>
    </w:p>
    <w:p w:rsidR="00A77B3E" w:rsidRDefault="00AD30C9">
      <w:pPr>
        <w:spacing w:line="276" w:lineRule="auto"/>
        <w:rPr>
          <w:color w:val="000000"/>
          <w:sz w:val="17"/>
          <w:shd w:val="clear" w:color="auto" w:fill="FFFF00"/>
        </w:rPr>
      </w:pPr>
      <w:r>
        <w:rPr>
          <w:sz w:val="20"/>
        </w:rPr>
        <w:t xml:space="preserve">AAM defines free cash flow to be net cash provided by operating activities less capital expenditures net of proceeds from the sale of property, plant and equipment. Adjusted free cash flow is defined as free cash flow excluding the impact of cash payments </w:t>
      </w:r>
      <w:r>
        <w:rPr>
          <w:sz w:val="20"/>
        </w:rPr>
        <w:t xml:space="preserve">for restructuring and acquisition-related costs, and cash payments related to the Malvern fire, including payments for capital expenditures, net of recoveries. AAM's adjusted free cash flow for the </w:t>
      </w:r>
      <w:r>
        <w:rPr>
          <w:color w:val="000000"/>
          <w:sz w:val="20"/>
        </w:rPr>
        <w:t>fourth quarter</w:t>
      </w:r>
      <w:r>
        <w:rPr>
          <w:sz w:val="20"/>
        </w:rPr>
        <w:t xml:space="preserve"> of </w:t>
      </w:r>
      <w:r>
        <w:rPr>
          <w:color w:val="000000"/>
          <w:sz w:val="20"/>
        </w:rPr>
        <w:t>2022</w:t>
      </w:r>
      <w:r>
        <w:rPr>
          <w:sz w:val="20"/>
        </w:rPr>
        <w:t xml:space="preserve"> was </w:t>
      </w:r>
      <w:r>
        <w:rPr>
          <w:color w:val="000000"/>
          <w:sz w:val="20"/>
        </w:rPr>
        <w:t>$99.0 million</w:t>
      </w:r>
      <w:r>
        <w:rPr>
          <w:sz w:val="20"/>
        </w:rPr>
        <w:t xml:space="preserve"> as compared to </w:t>
      </w:r>
      <w:r>
        <w:rPr>
          <w:color w:val="000000"/>
          <w:sz w:val="20"/>
        </w:rPr>
        <w:t>$4</w:t>
      </w:r>
      <w:r>
        <w:rPr>
          <w:color w:val="000000"/>
          <w:sz w:val="20"/>
        </w:rPr>
        <w:t>3.6 million</w:t>
      </w:r>
      <w:r>
        <w:rPr>
          <w:sz w:val="20"/>
        </w:rPr>
        <w:t xml:space="preserve"> for the </w:t>
      </w:r>
      <w:r>
        <w:rPr>
          <w:color w:val="000000"/>
          <w:sz w:val="20"/>
        </w:rPr>
        <w:t>fourth quarter</w:t>
      </w:r>
      <w:r>
        <w:rPr>
          <w:sz w:val="20"/>
        </w:rPr>
        <w:t xml:space="preserve"> of </w:t>
      </w:r>
      <w:r>
        <w:rPr>
          <w:color w:val="000000"/>
          <w:sz w:val="20"/>
        </w:rPr>
        <w:t>2021</w:t>
      </w:r>
      <w:r>
        <w:rPr>
          <w:sz w:val="20"/>
        </w:rPr>
        <w:t xml:space="preserve">.  AAM's adjusted free cash flow for full year </w:t>
      </w:r>
      <w:r>
        <w:rPr>
          <w:color w:val="000000"/>
          <w:sz w:val="20"/>
        </w:rPr>
        <w:t>2022</w:t>
      </w:r>
      <w:r>
        <w:rPr>
          <w:sz w:val="20"/>
        </w:rPr>
        <w:t xml:space="preserve"> was </w:t>
      </w:r>
      <w:r>
        <w:rPr>
          <w:color w:val="000000"/>
          <w:sz w:val="20"/>
        </w:rPr>
        <w:t>$313.0 million</w:t>
      </w:r>
      <w:r>
        <w:rPr>
          <w:sz w:val="20"/>
        </w:rPr>
        <w:t xml:space="preserve"> as compared to </w:t>
      </w:r>
      <w:r>
        <w:rPr>
          <w:color w:val="000000"/>
          <w:sz w:val="20"/>
        </w:rPr>
        <w:t>$422.9 million</w:t>
      </w:r>
      <w:r>
        <w:rPr>
          <w:sz w:val="20"/>
        </w:rPr>
        <w:t xml:space="preserve"> for full year </w:t>
      </w:r>
      <w:r>
        <w:rPr>
          <w:color w:val="000000"/>
          <w:sz w:val="20"/>
        </w:rPr>
        <w:t>2021</w:t>
      </w:r>
      <w:r>
        <w:rPr>
          <w:sz w:val="20"/>
        </w:rPr>
        <w:t>.</w:t>
      </w:r>
    </w:p>
    <w:p w:rsidR="00A77B3E" w:rsidRDefault="00A77B3E">
      <w:pPr>
        <w:spacing w:line="288" w:lineRule="auto"/>
        <w:rPr>
          <w:b/>
          <w:sz w:val="20"/>
        </w:rPr>
      </w:pPr>
    </w:p>
    <w:p w:rsidR="00A77B3E" w:rsidRDefault="00AD30C9">
      <w:pPr>
        <w:spacing w:line="288" w:lineRule="auto"/>
        <w:rPr>
          <w:b/>
          <w:sz w:val="20"/>
        </w:rPr>
      </w:pPr>
      <w:r>
        <w:rPr>
          <w:b/>
          <w:sz w:val="20"/>
        </w:rPr>
        <w:t>AAM's 2023 Financial Outlook</w:t>
      </w:r>
    </w:p>
    <w:p w:rsidR="00A77B3E" w:rsidRDefault="00AD30C9">
      <w:pPr>
        <w:spacing w:line="288" w:lineRule="auto"/>
        <w:rPr>
          <w:b/>
          <w:sz w:val="20"/>
        </w:rPr>
      </w:pPr>
      <w:r>
        <w:rPr>
          <w:sz w:val="20"/>
        </w:rPr>
        <w:t>AAM's full year 2023 financial targets are as follows:</w:t>
      </w:r>
      <w:r>
        <w:rPr>
          <w:rFonts w:ascii="Calibri" w:eastAsia="Calibri" w:hAnsi="Calibri" w:cs="Calibri"/>
          <w:sz w:val="22"/>
        </w:rPr>
        <w:t xml:space="preserve"> </w:t>
      </w:r>
      <w:r>
        <w:rPr>
          <w:rFonts w:ascii="Calibri" w:eastAsia="Calibri" w:hAnsi="Calibri" w:cs="Calibri"/>
        </w:rPr>
        <w:t xml:space="preserve"> </w:t>
      </w:r>
      <w:r>
        <w:rPr>
          <w:sz w:val="20"/>
        </w:rPr>
        <w:t xml:space="preserve"> </w:t>
      </w:r>
    </w:p>
    <w:p w:rsidR="00DE25E4" w:rsidRDefault="00AD30C9">
      <w:pPr>
        <w:numPr>
          <w:ilvl w:val="0"/>
          <w:numId w:val="23"/>
        </w:numPr>
        <w:spacing w:line="288" w:lineRule="auto"/>
        <w:rPr>
          <w:sz w:val="20"/>
        </w:rPr>
      </w:pPr>
      <w:r>
        <w:rPr>
          <w:sz w:val="20"/>
        </w:rPr>
        <w:t>AAM i</w:t>
      </w:r>
      <w:r>
        <w:rPr>
          <w:sz w:val="20"/>
        </w:rPr>
        <w:t>s targeting sales in the range of $5.95 - $6.25 billion.</w:t>
      </w:r>
    </w:p>
    <w:p w:rsidR="00DE25E4" w:rsidRDefault="00AD30C9">
      <w:pPr>
        <w:numPr>
          <w:ilvl w:val="0"/>
          <w:numId w:val="24"/>
        </w:numPr>
        <w:spacing w:line="288" w:lineRule="auto"/>
        <w:rPr>
          <w:sz w:val="20"/>
        </w:rPr>
      </w:pPr>
      <w:r>
        <w:rPr>
          <w:sz w:val="20"/>
        </w:rPr>
        <w:t>AAM is targeting Adjusted EBITDA in the range of $725 - $800 million.</w:t>
      </w:r>
    </w:p>
    <w:p w:rsidR="00DE25E4" w:rsidRDefault="00AD30C9">
      <w:pPr>
        <w:numPr>
          <w:ilvl w:val="1"/>
          <w:numId w:val="25"/>
        </w:numPr>
        <w:spacing w:line="288" w:lineRule="auto"/>
        <w:ind w:left="1080"/>
        <w:rPr>
          <w:sz w:val="20"/>
        </w:rPr>
      </w:pPr>
      <w:r>
        <w:rPr>
          <w:sz w:val="20"/>
        </w:rPr>
        <w:t>Reflects the impact of increased R&amp;D spending to support new programs and electrification growth opportunities</w:t>
      </w:r>
    </w:p>
    <w:p w:rsidR="00DE25E4" w:rsidRDefault="00AD30C9">
      <w:pPr>
        <w:numPr>
          <w:ilvl w:val="0"/>
          <w:numId w:val="26"/>
        </w:numPr>
        <w:spacing w:line="288" w:lineRule="auto"/>
        <w:rPr>
          <w:sz w:val="20"/>
        </w:rPr>
      </w:pPr>
      <w:r>
        <w:rPr>
          <w:sz w:val="20"/>
        </w:rPr>
        <w:t>AAM is targeting A</w:t>
      </w:r>
      <w:r>
        <w:rPr>
          <w:sz w:val="20"/>
        </w:rPr>
        <w:t>djusted free cash flow in the range of $225 - $300 million; this target assumes capital spending of approximately 3.5% - 4.0% of sales.</w:t>
      </w:r>
    </w:p>
    <w:p w:rsidR="00A77B3E" w:rsidRDefault="00A77B3E">
      <w:pPr>
        <w:spacing w:line="288" w:lineRule="auto"/>
        <w:rPr>
          <w:sz w:val="20"/>
        </w:rPr>
      </w:pPr>
    </w:p>
    <w:p w:rsidR="00A77B3E" w:rsidRDefault="00AD30C9">
      <w:pPr>
        <w:spacing w:line="288" w:lineRule="auto"/>
        <w:rPr>
          <w:sz w:val="20"/>
        </w:rPr>
      </w:pPr>
      <w:r>
        <w:rPr>
          <w:sz w:val="20"/>
        </w:rPr>
        <w:t xml:space="preserve">These targets are based on the following assumptions for 2023: </w:t>
      </w:r>
    </w:p>
    <w:p w:rsidR="00DE25E4" w:rsidRDefault="00AD30C9">
      <w:pPr>
        <w:numPr>
          <w:ilvl w:val="0"/>
          <w:numId w:val="27"/>
        </w:numPr>
        <w:spacing w:line="288" w:lineRule="auto"/>
        <w:rPr>
          <w:sz w:val="20"/>
        </w:rPr>
      </w:pPr>
      <w:r>
        <w:rPr>
          <w:sz w:val="20"/>
        </w:rPr>
        <w:t>North American light vehicle production of approximately 14.5 - 15.1 million units.</w:t>
      </w:r>
    </w:p>
    <w:p w:rsidR="00DE25E4" w:rsidRDefault="00AD30C9">
      <w:pPr>
        <w:numPr>
          <w:ilvl w:val="0"/>
          <w:numId w:val="28"/>
        </w:numPr>
        <w:spacing w:line="288" w:lineRule="auto"/>
        <w:rPr>
          <w:sz w:val="20"/>
        </w:rPr>
      </w:pPr>
      <w:r>
        <w:rPr>
          <w:sz w:val="20"/>
        </w:rPr>
        <w:t>Current customer production and launch schedules and operating environment.</w:t>
      </w:r>
    </w:p>
    <w:p w:rsidR="00A77B3E" w:rsidRDefault="00A77B3E">
      <w:pPr>
        <w:spacing w:line="288" w:lineRule="auto"/>
        <w:rPr>
          <w:sz w:val="20"/>
        </w:rPr>
      </w:pPr>
    </w:p>
    <w:p w:rsidR="00A77B3E" w:rsidRDefault="00AD30C9">
      <w:pPr>
        <w:spacing w:line="288" w:lineRule="auto"/>
        <w:rPr>
          <w:b/>
          <w:sz w:val="20"/>
        </w:rPr>
      </w:pPr>
      <w:r>
        <w:rPr>
          <w:b/>
          <w:sz w:val="20"/>
        </w:rPr>
        <w:t>AAM's 2023-2025 New Business Backlog</w:t>
      </w:r>
    </w:p>
    <w:p w:rsidR="00A77B3E" w:rsidRDefault="00AD30C9">
      <w:pPr>
        <w:spacing w:line="288" w:lineRule="auto"/>
        <w:rPr>
          <w:sz w:val="20"/>
        </w:rPr>
      </w:pPr>
      <w:r>
        <w:rPr>
          <w:sz w:val="20"/>
        </w:rPr>
        <w:t>As disclosed at AAM's Technology Day (January 4, 2023), AA</w:t>
      </w:r>
      <w:r>
        <w:rPr>
          <w:sz w:val="20"/>
        </w:rPr>
        <w:t xml:space="preserve">M’s gross new and incremental business backlog launching from 2023 - 2025 is estimated at approximately $725 million in future annual sales. AAM expects the launch cadence of the three-year backlog to be approximately $350 million in 2023, $225 million in </w:t>
      </w:r>
      <w:r>
        <w:rPr>
          <w:sz w:val="20"/>
        </w:rPr>
        <w:t xml:space="preserve">2024 and $150 million in 2025. Electrification mix approximates 40% of AAM's new business backlog versus 35% in the prior backlog (2022-2024). </w:t>
      </w:r>
    </w:p>
    <w:p w:rsidR="00A77B3E" w:rsidRDefault="00A77B3E">
      <w:pPr>
        <w:spacing w:line="288" w:lineRule="auto"/>
        <w:rPr>
          <w:sz w:val="20"/>
        </w:rPr>
      </w:pPr>
    </w:p>
    <w:p w:rsidR="00A77B3E" w:rsidRDefault="00AD30C9">
      <w:pPr>
        <w:spacing w:line="288" w:lineRule="auto"/>
        <w:rPr>
          <w:b/>
          <w:sz w:val="20"/>
        </w:rPr>
      </w:pPr>
      <w:r>
        <w:rPr>
          <w:b/>
          <w:color w:val="000000"/>
          <w:sz w:val="20"/>
        </w:rPr>
        <w:t>Fourth Quarter</w:t>
      </w:r>
      <w:r>
        <w:rPr>
          <w:b/>
          <w:sz w:val="20"/>
        </w:rPr>
        <w:t xml:space="preserve"> </w:t>
      </w:r>
      <w:r>
        <w:rPr>
          <w:b/>
          <w:color w:val="000000"/>
          <w:sz w:val="20"/>
        </w:rPr>
        <w:t>2022</w:t>
      </w:r>
      <w:r>
        <w:rPr>
          <w:b/>
          <w:sz w:val="20"/>
        </w:rPr>
        <w:t xml:space="preserve"> Conference Call Information </w:t>
      </w:r>
    </w:p>
    <w:p w:rsidR="00A77B3E" w:rsidRDefault="00AD30C9">
      <w:pPr>
        <w:spacing w:line="288" w:lineRule="auto"/>
        <w:rPr>
          <w:sz w:val="20"/>
        </w:rPr>
      </w:pPr>
      <w:r>
        <w:rPr>
          <w:sz w:val="20"/>
        </w:rPr>
        <w:t xml:space="preserve">A conference call to review AAM's </w:t>
      </w:r>
      <w:r>
        <w:rPr>
          <w:color w:val="000000"/>
          <w:sz w:val="20"/>
        </w:rPr>
        <w:t>fourth quarter</w:t>
      </w:r>
      <w:r>
        <w:rPr>
          <w:sz w:val="20"/>
        </w:rPr>
        <w:t xml:space="preserve"> results is scheduled today at 10:00 a.m. ET. Interested participants may listen to the live conference call by logging onto AAM's investor web site at http://investor.aam.com or calling (877) 883-0383 from t</w:t>
      </w:r>
      <w:r>
        <w:rPr>
          <w:sz w:val="20"/>
        </w:rPr>
        <w:t xml:space="preserve">he United States or (412) 902-6506 from outside the United States with access code </w:t>
      </w:r>
      <w:r>
        <w:rPr>
          <w:color w:val="000000"/>
          <w:sz w:val="20"/>
        </w:rPr>
        <w:t>3177234</w:t>
      </w:r>
      <w:r>
        <w:rPr>
          <w:sz w:val="20"/>
        </w:rPr>
        <w:t xml:space="preserve">. A replay will be available one hour after the call is complete until </w:t>
      </w:r>
      <w:r>
        <w:rPr>
          <w:color w:val="000000"/>
          <w:sz w:val="20"/>
        </w:rPr>
        <w:t>February 24, 2023</w:t>
      </w:r>
      <w:r>
        <w:rPr>
          <w:sz w:val="20"/>
        </w:rPr>
        <w:t xml:space="preserve"> by dialing (877) 344-7529 from the United States or (412) 317-0088 from outsi</w:t>
      </w:r>
      <w:r>
        <w:rPr>
          <w:sz w:val="20"/>
        </w:rPr>
        <w:t xml:space="preserve">de the United States. When prompted, callers should enter replay access code </w:t>
      </w:r>
      <w:r>
        <w:rPr>
          <w:color w:val="000000"/>
          <w:sz w:val="20"/>
        </w:rPr>
        <w:t>5108684</w:t>
      </w:r>
      <w:r>
        <w:rPr>
          <w:sz w:val="20"/>
        </w:rPr>
        <w:t>.</w:t>
      </w: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D30C9">
      <w:pPr>
        <w:spacing w:line="288" w:lineRule="auto"/>
        <w:rPr>
          <w:b/>
          <w:sz w:val="20"/>
        </w:rPr>
      </w:pPr>
      <w:r>
        <w:rPr>
          <w:b/>
          <w:sz w:val="20"/>
        </w:rPr>
        <w:lastRenderedPageBreak/>
        <w:t xml:space="preserve">Non-GAAP Financial Information </w:t>
      </w:r>
    </w:p>
    <w:p w:rsidR="00A77B3E" w:rsidRDefault="00AD30C9">
      <w:pPr>
        <w:keepNext/>
        <w:spacing w:line="288" w:lineRule="auto"/>
        <w:rPr>
          <w:sz w:val="20"/>
        </w:rPr>
      </w:pPr>
      <w:r>
        <w:rPr>
          <w:sz w:val="20"/>
        </w:rPr>
        <w:t>In addition to the results reported in accordance with accounting principles generally accepted in the United States of Ame</w:t>
      </w:r>
      <w:r>
        <w:rPr>
          <w:sz w:val="20"/>
        </w:rPr>
        <w:t>rica (GAAP) included within this press release, AAM has provided certain information, which includes non-GAAP financial measures such as Adjusted EBITDA, Adjusted earnings per share and Adjusted free cash flow.  Such information is reconciled to its closes</w:t>
      </w:r>
      <w:r>
        <w:rPr>
          <w:sz w:val="20"/>
        </w:rPr>
        <w:t xml:space="preserve">t GAAP measure in accordance with Securities and Exchange Commission rules and is included in the attached supplemental data. </w:t>
      </w:r>
    </w:p>
    <w:p w:rsidR="00A77B3E" w:rsidRDefault="00A77B3E">
      <w:pPr>
        <w:spacing w:line="288" w:lineRule="auto"/>
        <w:rPr>
          <w:sz w:val="20"/>
        </w:rPr>
      </w:pPr>
    </w:p>
    <w:p w:rsidR="00A77B3E" w:rsidRDefault="00AD30C9">
      <w:pPr>
        <w:spacing w:line="288" w:lineRule="auto"/>
        <w:rPr>
          <w:sz w:val="20"/>
        </w:rPr>
      </w:pPr>
      <w:r>
        <w:rPr>
          <w:sz w:val="20"/>
        </w:rPr>
        <w:t xml:space="preserve">Certain of the forward-looking financial measures included in this earnings release are provided on a non-GAAP basis. A </w:t>
      </w:r>
      <w:r>
        <w:rPr>
          <w:sz w:val="20"/>
        </w:rPr>
        <w:t>reconciliation of non-GAAP forward-looking financial measures to the most directly comparable forward-looking financial measures calculated and presented in accordance with GAAP has been provided.  The amounts in these reconciliations are based on our curr</w:t>
      </w:r>
      <w:r>
        <w:rPr>
          <w:sz w:val="20"/>
        </w:rPr>
        <w:t>ent estimates and actual results may differ materially from these forward-looking estimates for many reasons, including potential event driven transactional and other non-core operating items and their related effects in any future period, the magnitude of</w:t>
      </w:r>
      <w:r>
        <w:rPr>
          <w:sz w:val="20"/>
        </w:rPr>
        <w:t xml:space="preserve"> which may be significant.</w:t>
      </w:r>
    </w:p>
    <w:p w:rsidR="00A77B3E" w:rsidRDefault="00A77B3E">
      <w:pPr>
        <w:spacing w:line="288" w:lineRule="auto"/>
        <w:rPr>
          <w:sz w:val="20"/>
        </w:rPr>
      </w:pPr>
    </w:p>
    <w:p w:rsidR="00A77B3E" w:rsidRDefault="00AD30C9">
      <w:pPr>
        <w:spacing w:line="288" w:lineRule="auto"/>
        <w:rPr>
          <w:sz w:val="20"/>
        </w:rPr>
      </w:pPr>
      <w:r>
        <w:rPr>
          <w:sz w:val="20"/>
        </w:rPr>
        <w:t>Management believes that these non-GAAP financial measures are useful to management, investors, and banking institutions in their analysis of the Company's business and operating performance. Management also uses this informatio</w:t>
      </w:r>
      <w:r>
        <w:rPr>
          <w:sz w:val="20"/>
        </w:rPr>
        <w:t xml:space="preserve">n for operational planning and decision-making purposes. </w:t>
      </w:r>
    </w:p>
    <w:p w:rsidR="00A77B3E" w:rsidRDefault="00A77B3E">
      <w:pPr>
        <w:spacing w:line="288" w:lineRule="auto"/>
        <w:rPr>
          <w:sz w:val="20"/>
        </w:rPr>
      </w:pPr>
    </w:p>
    <w:p w:rsidR="00A77B3E" w:rsidRDefault="00AD30C9">
      <w:pPr>
        <w:spacing w:line="288" w:lineRule="auto"/>
        <w:rPr>
          <w:sz w:val="20"/>
        </w:rPr>
      </w:pPr>
      <w:r>
        <w:rPr>
          <w:sz w:val="20"/>
        </w:rPr>
        <w:t xml:space="preserve">Non-GAAP financial measures are not and should not be considered a substitute for any GAAP measure. Additionally, non-GAAP financial measures as presented by AAM may not be comparable to similarly </w:t>
      </w:r>
      <w:r>
        <w:rPr>
          <w:sz w:val="20"/>
        </w:rPr>
        <w:t>titled measures reported by other companies.</w:t>
      </w:r>
    </w:p>
    <w:p w:rsidR="00A77B3E" w:rsidRDefault="00A77B3E">
      <w:pPr>
        <w:spacing w:line="288" w:lineRule="auto"/>
        <w:rPr>
          <w:b/>
        </w:rPr>
      </w:pPr>
    </w:p>
    <w:p w:rsidR="00A77B3E" w:rsidRDefault="00AD30C9">
      <w:pPr>
        <w:spacing w:line="288" w:lineRule="auto"/>
        <w:rPr>
          <w:b/>
          <w:sz w:val="20"/>
        </w:rPr>
      </w:pPr>
      <w:r>
        <w:rPr>
          <w:b/>
          <w:sz w:val="20"/>
        </w:rPr>
        <w:t>Company Description</w:t>
      </w:r>
    </w:p>
    <w:p w:rsidR="00A77B3E" w:rsidRDefault="00AD30C9">
      <w:pPr>
        <w:spacing w:line="269" w:lineRule="auto"/>
        <w:rPr>
          <w:rFonts w:ascii="Calibri" w:eastAsia="Calibri" w:hAnsi="Calibri" w:cs="Calibri"/>
          <w:color w:val="000000"/>
          <w:sz w:val="22"/>
          <w:shd w:val="clear" w:color="auto" w:fill="FFFF00"/>
        </w:rPr>
      </w:pPr>
      <w:r>
        <w:rPr>
          <w:sz w:val="20"/>
        </w:rPr>
        <w:t>As a leading global Tier 1 Automotive and Mobility Supplier, AAM (NYSE: AXL) designs, engineers and manufactures Driveline and Metal Forming technologies to support electric, hybrid and inte</w:t>
      </w:r>
      <w:r>
        <w:rPr>
          <w:sz w:val="20"/>
        </w:rPr>
        <w:t xml:space="preserve">rnal combustion vehicles. Headquartered in Detroit with over 80 facilities in 18 countries, AAM is </w:t>
      </w:r>
      <w:r>
        <w:rPr>
          <w:i/>
          <w:sz w:val="20"/>
        </w:rPr>
        <w:t>bringing the future faster</w:t>
      </w:r>
      <w:r>
        <w:rPr>
          <w:sz w:val="20"/>
        </w:rPr>
        <w:t xml:space="preserve"> for a safer and more sustainable tomorrow. To learn more, visit aam.com.</w:t>
      </w:r>
    </w:p>
    <w:p w:rsidR="00A77B3E" w:rsidRDefault="00A77B3E">
      <w:pPr>
        <w:spacing w:line="288" w:lineRule="auto"/>
        <w:rPr>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77B3E">
      <w:pPr>
        <w:spacing w:line="288" w:lineRule="auto"/>
        <w:rPr>
          <w:b/>
          <w:sz w:val="20"/>
        </w:rPr>
      </w:pPr>
    </w:p>
    <w:p w:rsidR="00A77B3E" w:rsidRDefault="00AD30C9">
      <w:pPr>
        <w:spacing w:line="288" w:lineRule="auto"/>
        <w:rPr>
          <w:b/>
          <w:sz w:val="20"/>
        </w:rPr>
      </w:pPr>
      <w:r>
        <w:rPr>
          <w:b/>
          <w:sz w:val="20"/>
        </w:rPr>
        <w:lastRenderedPageBreak/>
        <w:t>Forward-Looking Statements</w:t>
      </w:r>
    </w:p>
    <w:p w:rsidR="00A77B3E" w:rsidRDefault="00AD30C9">
      <w:pPr>
        <w:spacing w:line="288" w:lineRule="auto"/>
        <w:rPr>
          <w:color w:val="000000"/>
          <w:shd w:val="clear" w:color="auto" w:fill="FFFF00"/>
        </w:rPr>
      </w:pPr>
      <w:r>
        <w:rPr>
          <w:i/>
          <w:sz w:val="18"/>
        </w:rPr>
        <w:t>In this earnings release, we make statements concerning our expectations, beliefs, plans, objectives, goals, strategies, and future events or performance.  Such statements are “forward-looking” statements within the meaning of th</w:t>
      </w:r>
      <w:r>
        <w:rPr>
          <w:i/>
          <w:sz w:val="18"/>
        </w:rPr>
        <w:t>e Private Securities Litigation Reform Act of 1995 and relate to trends and events that may affect our future financial position and operating results.  The terms such as “will,” “may,” “could,” “would,” “plan,” “believe,” “expect,” “anticipate,” “intend,”</w:t>
      </w:r>
      <w:r>
        <w:rPr>
          <w:i/>
          <w:sz w:val="18"/>
        </w:rPr>
        <w:t xml:space="preserve"> “project,” "target," and similar words or expressions, as well as statements in future tense, are intended to identify forward-looking statements.  Forward-looking statements should not be read as a guarantee of future performance or results and will not </w:t>
      </w:r>
      <w:r>
        <w:rPr>
          <w:i/>
          <w:sz w:val="18"/>
        </w:rPr>
        <w:t xml:space="preserve">necessarily be accurate indications of the times at, or by, which such performance or results will be achieved. Forward-looking statements are based on information available at the time those statements are made and/or management’s good faith belief as of </w:t>
      </w:r>
      <w:r>
        <w:rPr>
          <w:i/>
          <w:sz w:val="18"/>
        </w:rPr>
        <w:t>that time with respect to future events and are subject to risks and may differ materially from those expressed in or suggested by the forward-looking statements. Important factors that could cause such differences include, but are not limited to: global e</w:t>
      </w:r>
      <w:r>
        <w:rPr>
          <w:i/>
          <w:sz w:val="18"/>
        </w:rPr>
        <w:t xml:space="preserve">conomic conditions, including the impact of inflation, recession or recessionary concerns, or slower growth in the markets in which we operate; reduced purchases of our products by General Motors Company (GM), </w:t>
      </w:r>
      <w:proofErr w:type="spellStart"/>
      <w:r>
        <w:rPr>
          <w:i/>
          <w:sz w:val="18"/>
        </w:rPr>
        <w:t>Stellantis</w:t>
      </w:r>
      <w:proofErr w:type="spellEnd"/>
      <w:r>
        <w:rPr>
          <w:i/>
          <w:sz w:val="18"/>
        </w:rPr>
        <w:t xml:space="preserve"> N.V. (</w:t>
      </w:r>
      <w:proofErr w:type="spellStart"/>
      <w:r>
        <w:rPr>
          <w:i/>
          <w:sz w:val="18"/>
        </w:rPr>
        <w:t>Stellantis</w:t>
      </w:r>
      <w:proofErr w:type="spellEnd"/>
      <w:r>
        <w:rPr>
          <w:i/>
          <w:sz w:val="18"/>
        </w:rPr>
        <w:t>), Ford Motor Compa</w:t>
      </w:r>
      <w:r>
        <w:rPr>
          <w:i/>
          <w:sz w:val="18"/>
        </w:rPr>
        <w:t>ny (Ford) or other customers; our ability to respond to changes in technology, increased competition or pricing pressures; our ability to develop and produce new products that reflect market demand; lower-than-anticipated market acceptance of new or existi</w:t>
      </w:r>
      <w:r>
        <w:rPr>
          <w:i/>
          <w:sz w:val="18"/>
        </w:rPr>
        <w:t xml:space="preserve">ng products; our ability to attract new customers and programs for new products; reduced demand for our customers' products (particularly light trucks and sport utility vehicles (SUVs) produced by GM, </w:t>
      </w:r>
      <w:proofErr w:type="spellStart"/>
      <w:r>
        <w:rPr>
          <w:i/>
          <w:sz w:val="18"/>
        </w:rPr>
        <w:t>Stellantis</w:t>
      </w:r>
      <w:proofErr w:type="spellEnd"/>
      <w:r>
        <w:rPr>
          <w:i/>
          <w:sz w:val="18"/>
        </w:rPr>
        <w:t xml:space="preserve"> and Ford); risks inherent in our global oper</w:t>
      </w:r>
      <w:r>
        <w:rPr>
          <w:i/>
          <w:sz w:val="18"/>
        </w:rPr>
        <w:t>ations (including tariffs and the potential consequences thereof to us, our suppliers, and our customers and their suppliers, adverse changes in trade agreements, such as the United States-Mexico-Canada Agreement (USMCA), immigration policies, political st</w:t>
      </w:r>
      <w:r>
        <w:rPr>
          <w:i/>
          <w:sz w:val="18"/>
        </w:rPr>
        <w:t>ability or geopolitical conflicts, taxes and other law changes, potential disruptions of production and supply, and currency rate fluctuations); supply shortages, such as the semiconductor shortage that the automotive industry is currently experiencing and</w:t>
      </w:r>
      <w:r>
        <w:rPr>
          <w:i/>
          <w:sz w:val="18"/>
        </w:rPr>
        <w:t xml:space="preserve"> the availability of natural gas or other fuel and utility sources in certain regions, labor shortages, including increased labor costs, or price increases in raw material and/or freight, utilities or other operating supplies for us or our customers as a r</w:t>
      </w:r>
      <w:r>
        <w:rPr>
          <w:i/>
          <w:sz w:val="18"/>
        </w:rPr>
        <w:t>esult of pandemic or epidemic illness such as COVID-19, geopolitical conflicts, natural disasters or otherwise; a significant disruption in operations at one or more of our key manufacturing facilities; negative or unexpected tax consequences; risks relate</w:t>
      </w:r>
      <w:r>
        <w:rPr>
          <w:i/>
          <w:sz w:val="18"/>
        </w:rPr>
        <w:t xml:space="preserve">d to a failure of our information technology systems and networks, and risks associated with current and emerging technology threats and damage from computer viruses, unauthorized access, </w:t>
      </w:r>
      <w:proofErr w:type="spellStart"/>
      <w:r>
        <w:rPr>
          <w:i/>
          <w:sz w:val="18"/>
        </w:rPr>
        <w:t>cyber attacks</w:t>
      </w:r>
      <w:proofErr w:type="spellEnd"/>
      <w:r>
        <w:rPr>
          <w:i/>
          <w:sz w:val="18"/>
        </w:rPr>
        <w:t xml:space="preserve"> and other similar disruptions; our suppliers', our cus</w:t>
      </w:r>
      <w:r>
        <w:rPr>
          <w:i/>
          <w:sz w:val="18"/>
        </w:rPr>
        <w:t>tomers' and their suppliers' ability to maintain satisfactory labor relations and avoid work stoppages; cost or availability of financing for working capital, capital expenditures, research and development (R&amp;D) or other general corporate purposes includin</w:t>
      </w:r>
      <w:r>
        <w:rPr>
          <w:i/>
          <w:sz w:val="18"/>
        </w:rPr>
        <w:t>g acquisitions, as well as our ability to comply with financial covenants; our customers' and suppliers' availability of financing for working capital, capital expenditures, R&amp;D or other general corporate purposes; an impairment of our goodwill, other inta</w:t>
      </w:r>
      <w:r>
        <w:rPr>
          <w:i/>
          <w:sz w:val="18"/>
        </w:rPr>
        <w:t>ngible assets, or long-lived assets if our business or market conditions indicate that the carrying values of those assets exceed their fair values; liabilities arising from warranty claims, product recall or field actions, product liability and legal proc</w:t>
      </w:r>
      <w:r>
        <w:rPr>
          <w:i/>
          <w:sz w:val="18"/>
        </w:rPr>
        <w:t>eedings to which we are or may become a party, or the impact of product recall or field actions on our customers; our ability or our customers' and suppliers' ability to successfully launch new product programs on a timely basis; risks of environmental iss</w:t>
      </w:r>
      <w:r>
        <w:rPr>
          <w:i/>
          <w:sz w:val="18"/>
        </w:rPr>
        <w:t>ues, including impacts of climate-related events, that could result in unforeseen issues or costs at our facilities, or risks of noncompliance with environmental laws and regulations, including reputational damage; our ability to maintain satisfactory labo</w:t>
      </w:r>
      <w:r>
        <w:rPr>
          <w:i/>
          <w:sz w:val="18"/>
        </w:rPr>
        <w:t>r relations and avoid work stoppages; our ability to consummate and successfully integrate acquisitions and joint ventures; our ability to achieve the level of cost reductions required to sustain global cost competitiveness or our ability to recover certai</w:t>
      </w:r>
      <w:r>
        <w:rPr>
          <w:i/>
          <w:sz w:val="18"/>
        </w:rPr>
        <w:t>n cost increases from our customers; our ability to realize the expected revenues from our new and incremental business backlog; price volatility in, or reduced availability of, fuel; our ability to protect our intellectual property and successfully defend</w:t>
      </w:r>
      <w:r>
        <w:rPr>
          <w:i/>
          <w:sz w:val="18"/>
        </w:rPr>
        <w:t xml:space="preserve"> against assertions made against us; adverse changes in laws, government regulations or market conditions affecting our products or our customers' products; our ability or our customers' and suppliers' ability to comply with regulatory requirements and the</w:t>
      </w:r>
      <w:r>
        <w:rPr>
          <w:i/>
          <w:sz w:val="18"/>
        </w:rPr>
        <w:t xml:space="preserve"> potential costs of such compliance; changes in liabilities arising from pension and other postretirement benefit obligations; our ability to attract and retain qualified personnel in key positions and functions; and other unanticipated events and conditio</w:t>
      </w:r>
      <w:r>
        <w:rPr>
          <w:i/>
          <w:sz w:val="18"/>
        </w:rPr>
        <w:t>ns that may hinder our ability to compete.  It is not possible to foresee or identify all such factors and we make no commitment to update any forward-looking statement or to disclose any facts, events or circumstances after the date hereof that may affect</w:t>
      </w:r>
      <w:r>
        <w:rPr>
          <w:i/>
          <w:sz w:val="18"/>
        </w:rPr>
        <w:t xml:space="preserve"> the accuracy of any forward-looking statement.</w:t>
      </w:r>
    </w:p>
    <w:p w:rsidR="00A77B3E" w:rsidRDefault="00A77B3E">
      <w:pPr>
        <w:spacing w:line="288" w:lineRule="auto"/>
        <w:rPr>
          <w:i/>
          <w:sz w:val="18"/>
        </w:rPr>
      </w:pPr>
    </w:p>
    <w:p w:rsidR="00A77B3E" w:rsidRDefault="00A77B3E">
      <w:pPr>
        <w:spacing w:line="288" w:lineRule="auto"/>
        <w:rPr>
          <w:i/>
          <w:sz w:val="20"/>
        </w:rPr>
      </w:pPr>
    </w:p>
    <w:p w:rsidR="00A77B3E" w:rsidRDefault="00AD30C9">
      <w:pPr>
        <w:spacing w:line="288" w:lineRule="auto"/>
        <w:jc w:val="center"/>
        <w:rPr>
          <w:sz w:val="22"/>
        </w:rPr>
      </w:pPr>
      <w:r>
        <w:rPr>
          <w:sz w:val="22"/>
        </w:rPr>
        <w:t>#  #  #</w:t>
      </w:r>
    </w:p>
    <w:p w:rsidR="00A77B3E" w:rsidRDefault="00A77B3E">
      <w:pPr>
        <w:spacing w:line="288" w:lineRule="auto"/>
        <w:rPr>
          <w:b/>
          <w:sz w:val="20"/>
        </w:rPr>
      </w:pPr>
    </w:p>
    <w:p w:rsidR="00A77B3E" w:rsidRDefault="00AD30C9">
      <w:pPr>
        <w:spacing w:line="288" w:lineRule="auto"/>
        <w:rPr>
          <w:b/>
          <w:sz w:val="20"/>
        </w:rPr>
      </w:pPr>
      <w:r>
        <w:rPr>
          <w:b/>
          <w:sz w:val="20"/>
        </w:rPr>
        <w:t>For more information:</w:t>
      </w:r>
    </w:p>
    <w:p w:rsidR="00A77B3E" w:rsidRDefault="00AD30C9">
      <w:pPr>
        <w:spacing w:line="288" w:lineRule="auto"/>
        <w:rPr>
          <w:sz w:val="20"/>
        </w:rPr>
      </w:pPr>
      <w:r>
        <w:rPr>
          <w:color w:val="000000"/>
          <w:sz w:val="20"/>
          <w:u w:val="single"/>
        </w:rPr>
        <w:t>Investor Contact</w:t>
      </w:r>
    </w:p>
    <w:p w:rsidR="00A77B3E" w:rsidRDefault="00AD30C9">
      <w:pPr>
        <w:spacing w:line="288" w:lineRule="auto"/>
        <w:rPr>
          <w:sz w:val="20"/>
        </w:rPr>
      </w:pPr>
      <w:r>
        <w:rPr>
          <w:sz w:val="20"/>
        </w:rPr>
        <w:t>David H. Lim</w:t>
      </w:r>
      <w:r>
        <w:rPr>
          <w:sz w:val="20"/>
        </w:rPr>
        <w:tab/>
      </w:r>
      <w:r>
        <w:rPr>
          <w:sz w:val="20"/>
        </w:rPr>
        <w:tab/>
      </w:r>
      <w:r>
        <w:rPr>
          <w:sz w:val="20"/>
        </w:rPr>
        <w:tab/>
      </w:r>
      <w:r>
        <w:rPr>
          <w:sz w:val="20"/>
        </w:rPr>
        <w:tab/>
      </w:r>
      <w:r>
        <w:rPr>
          <w:sz w:val="20"/>
        </w:rPr>
        <w:tab/>
      </w:r>
      <w:r>
        <w:rPr>
          <w:sz w:val="20"/>
        </w:rPr>
        <w:tab/>
      </w:r>
    </w:p>
    <w:p w:rsidR="00A77B3E" w:rsidRDefault="00AD30C9">
      <w:pPr>
        <w:spacing w:line="288" w:lineRule="auto"/>
        <w:rPr>
          <w:sz w:val="20"/>
        </w:rPr>
      </w:pPr>
      <w:r>
        <w:rPr>
          <w:sz w:val="20"/>
        </w:rPr>
        <w:t>Head of Investor Relations</w:t>
      </w:r>
      <w:r>
        <w:rPr>
          <w:sz w:val="20"/>
        </w:rPr>
        <w:tab/>
      </w:r>
      <w:r>
        <w:rPr>
          <w:sz w:val="20"/>
        </w:rPr>
        <w:tab/>
      </w:r>
    </w:p>
    <w:p w:rsidR="00A77B3E" w:rsidRDefault="00AD30C9">
      <w:pPr>
        <w:spacing w:line="288" w:lineRule="auto"/>
        <w:rPr>
          <w:sz w:val="20"/>
        </w:rPr>
      </w:pPr>
      <w:r>
        <w:rPr>
          <w:sz w:val="20"/>
        </w:rPr>
        <w:t>(313) 758-2006</w:t>
      </w:r>
      <w:r>
        <w:rPr>
          <w:sz w:val="20"/>
        </w:rPr>
        <w:tab/>
      </w:r>
      <w:r>
        <w:rPr>
          <w:sz w:val="20"/>
        </w:rPr>
        <w:tab/>
      </w:r>
      <w:r>
        <w:rPr>
          <w:sz w:val="20"/>
        </w:rPr>
        <w:tab/>
      </w:r>
      <w:r>
        <w:rPr>
          <w:sz w:val="20"/>
        </w:rPr>
        <w:tab/>
      </w:r>
      <w:r>
        <w:rPr>
          <w:sz w:val="20"/>
        </w:rPr>
        <w:tab/>
      </w:r>
      <w:r>
        <w:rPr>
          <w:sz w:val="20"/>
        </w:rPr>
        <w:tab/>
      </w:r>
      <w:r>
        <w:rPr>
          <w:sz w:val="20"/>
        </w:rPr>
        <w:tab/>
        <w:t xml:space="preserve"> </w:t>
      </w:r>
    </w:p>
    <w:p w:rsidR="00A77B3E" w:rsidRDefault="00AD30C9">
      <w:pPr>
        <w:spacing w:line="288" w:lineRule="auto"/>
        <w:rPr>
          <w:sz w:val="20"/>
        </w:rPr>
      </w:pPr>
      <w:r>
        <w:rPr>
          <w:color w:val="0000FF"/>
          <w:sz w:val="20"/>
          <w:u w:val="single"/>
        </w:rPr>
        <w:t>david.lim@aam.com</w:t>
      </w:r>
    </w:p>
    <w:p w:rsidR="00A77B3E" w:rsidRDefault="00A77B3E">
      <w:pPr>
        <w:spacing w:line="288" w:lineRule="auto"/>
        <w:rPr>
          <w:sz w:val="20"/>
        </w:rPr>
      </w:pPr>
    </w:p>
    <w:p w:rsidR="00A77B3E" w:rsidRDefault="00AD30C9">
      <w:pPr>
        <w:spacing w:line="288" w:lineRule="auto"/>
        <w:rPr>
          <w:sz w:val="20"/>
        </w:rPr>
      </w:pPr>
      <w:r>
        <w:rPr>
          <w:color w:val="000000"/>
          <w:sz w:val="20"/>
          <w:u w:val="single"/>
        </w:rPr>
        <w:t xml:space="preserve">Media Contact </w:t>
      </w:r>
    </w:p>
    <w:p w:rsidR="00A77B3E" w:rsidRDefault="00AD30C9">
      <w:pPr>
        <w:spacing w:line="288" w:lineRule="auto"/>
        <w:rPr>
          <w:sz w:val="20"/>
        </w:rPr>
      </w:pPr>
      <w:r>
        <w:rPr>
          <w:sz w:val="20"/>
        </w:rPr>
        <w:t>Christopher M. Son</w:t>
      </w:r>
    </w:p>
    <w:p w:rsidR="00A77B3E" w:rsidRDefault="00AD30C9">
      <w:pPr>
        <w:spacing w:line="288" w:lineRule="auto"/>
        <w:rPr>
          <w:sz w:val="20"/>
        </w:rPr>
      </w:pPr>
      <w:r>
        <w:rPr>
          <w:sz w:val="20"/>
        </w:rPr>
        <w:t xml:space="preserve">Vice President, Marketing &amp; </w:t>
      </w:r>
      <w:r>
        <w:rPr>
          <w:sz w:val="20"/>
        </w:rPr>
        <w:t>Communications</w:t>
      </w:r>
    </w:p>
    <w:p w:rsidR="00A77B3E" w:rsidRDefault="00AD30C9">
      <w:pPr>
        <w:spacing w:line="288" w:lineRule="auto"/>
        <w:rPr>
          <w:sz w:val="20"/>
        </w:rPr>
      </w:pPr>
      <w:r>
        <w:rPr>
          <w:sz w:val="20"/>
        </w:rPr>
        <w:t>(313) 758-4814</w:t>
      </w:r>
    </w:p>
    <w:p w:rsidR="00A77B3E" w:rsidRDefault="00AD30C9">
      <w:pPr>
        <w:spacing w:line="288" w:lineRule="auto"/>
        <w:rPr>
          <w:sz w:val="20"/>
        </w:rPr>
      </w:pPr>
      <w:r>
        <w:rPr>
          <w:color w:val="0000FF"/>
          <w:sz w:val="20"/>
          <w:u w:val="single"/>
        </w:rPr>
        <w:t>chris.son@aam.com</w:t>
      </w:r>
    </w:p>
    <w:p w:rsidR="00A77B3E" w:rsidRDefault="00A77B3E">
      <w:pPr>
        <w:spacing w:line="288" w:lineRule="auto"/>
        <w:rPr>
          <w:sz w:val="20"/>
        </w:rPr>
      </w:pPr>
    </w:p>
    <w:p w:rsidR="00A77B3E" w:rsidRDefault="00AD30C9">
      <w:pPr>
        <w:spacing w:line="288" w:lineRule="auto"/>
        <w:rPr>
          <w:sz w:val="20"/>
        </w:rPr>
      </w:pPr>
      <w:r>
        <w:rPr>
          <w:sz w:val="20"/>
        </w:rPr>
        <w:t xml:space="preserve">Or visit the AAM website at </w:t>
      </w:r>
      <w:r>
        <w:rPr>
          <w:color w:val="0000FF"/>
          <w:sz w:val="20"/>
          <w:u w:val="single"/>
        </w:rPr>
        <w:t>www.aam.com</w:t>
      </w:r>
      <w:r>
        <w:rPr>
          <w:sz w:val="20"/>
        </w:rPr>
        <w:t>.</w:t>
      </w:r>
    </w:p>
    <w:p w:rsidR="00A77B3E" w:rsidRDefault="00A77B3E">
      <w:pPr>
        <w:spacing w:line="288" w:lineRule="auto"/>
        <w:rPr>
          <w:sz w:val="20"/>
        </w:rPr>
        <w:sectPr w:rsidR="00A77B3E">
          <w:headerReference w:type="default" r:id="rId8"/>
          <w:footerReference w:type="default" r:id="rId9"/>
          <w:type w:val="continuous"/>
          <w:pgSz w:w="12240" w:h="15840"/>
          <w:pgMar w:top="855" w:right="990" w:bottom="855" w:left="720" w:header="0" w:footer="270" w:gutter="0"/>
          <w:pgNumType w:start="1"/>
          <w:cols w:space="708"/>
          <w:docGrid w:linePitch="360"/>
        </w:sectPr>
      </w:pPr>
    </w:p>
    <w:p w:rsidR="00DE25E4" w:rsidRDefault="00AD30C9">
      <w:pPr>
        <w:spacing w:line="288" w:lineRule="auto"/>
        <w:jc w:val="center"/>
        <w:outlineLvl w:val="0"/>
        <w:rPr>
          <w:b/>
          <w:sz w:val="20"/>
        </w:rPr>
      </w:pPr>
      <w:bookmarkStart w:id="2" w:name="Section2"/>
      <w:bookmarkEnd w:id="2"/>
      <w:r>
        <w:rPr>
          <w:b/>
          <w:sz w:val="20"/>
        </w:rPr>
        <w:lastRenderedPageBreak/>
        <w:t>AMERICAN AXLE &amp; MANUFACTURING HOLDINGS, INC.</w:t>
      </w:r>
    </w:p>
    <w:p w:rsidR="00DE25E4" w:rsidRDefault="00AD30C9">
      <w:pPr>
        <w:spacing w:line="288" w:lineRule="auto"/>
        <w:jc w:val="center"/>
        <w:rPr>
          <w:b/>
          <w:sz w:val="20"/>
        </w:rPr>
      </w:pPr>
      <w:r>
        <w:rPr>
          <w:b/>
          <w:sz w:val="20"/>
        </w:rPr>
        <w:t>CONDENSED CONSOLIDATED STATEMENTS OF OPERATIONS</w:t>
      </w:r>
    </w:p>
    <w:p w:rsidR="00DE25E4" w:rsidRDefault="00AD30C9">
      <w:pPr>
        <w:spacing w:line="288" w:lineRule="auto"/>
        <w:jc w:val="center"/>
        <w:rPr>
          <w:i/>
          <w:sz w:val="20"/>
        </w:rPr>
      </w:pPr>
      <w:r>
        <w:rPr>
          <w:i/>
          <w:sz w:val="20"/>
        </w:rPr>
        <w:t>(Unaudited)</w:t>
      </w:r>
    </w:p>
    <w:p w:rsidR="00DE25E4" w:rsidRDefault="00AD30C9">
      <w:pPr>
        <w:spacing w:line="288" w:lineRule="auto"/>
        <w:rPr>
          <w:sz w:val="20"/>
        </w:rPr>
      </w:pPr>
      <w:r>
        <w:rPr>
          <w:sz w:val="20"/>
        </w:rPr>
        <w:t> </w:t>
      </w:r>
    </w:p>
    <w:tbl>
      <w:tblPr>
        <w:tblW w:w="13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0"/>
        <w:gridCol w:w="1260"/>
        <w:gridCol w:w="75"/>
        <w:gridCol w:w="1260"/>
        <w:gridCol w:w="180"/>
        <w:gridCol w:w="1260"/>
        <w:gridCol w:w="75"/>
        <w:gridCol w:w="1260"/>
        <w:gridCol w:w="1500"/>
        <w:gridCol w:w="1500"/>
      </w:tblGrid>
      <w:tr w:rsidR="00DE25E4">
        <w:trPr>
          <w:cantSplit/>
          <w:trHeight w:hRule="exact" w:val="300"/>
        </w:trPr>
        <w:tc>
          <w:tcPr>
            <w:tcW w:w="5430" w:type="dxa"/>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pPr>
            <w:r>
              <w:rPr>
                <w:color w:val="000000"/>
                <w:sz w:val="20"/>
              </w:rPr>
              <w:t> </w:t>
            </w:r>
          </w:p>
        </w:tc>
        <w:tc>
          <w:tcPr>
            <w:tcW w:w="2595" w:type="dxa"/>
            <w:gridSpan w:val="3"/>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jc w:val="center"/>
            </w:pPr>
            <w:r>
              <w:rPr>
                <w:b/>
                <w:color w:val="000000"/>
                <w:sz w:val="20"/>
              </w:rPr>
              <w:t xml:space="preserve">Three Months Ended </w:t>
            </w:r>
          </w:p>
        </w:tc>
        <w:tc>
          <w:tcPr>
            <w:tcW w:w="18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2595" w:type="dxa"/>
            <w:gridSpan w:val="3"/>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jc w:val="center"/>
            </w:pPr>
            <w:r>
              <w:rPr>
                <w:b/>
                <w:color w:val="000000"/>
                <w:sz w:val="20"/>
              </w:rPr>
              <w:t>Twelve Months Ended</w:t>
            </w: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300"/>
        </w:trPr>
        <w:tc>
          <w:tcPr>
            <w:tcW w:w="5430" w:type="dxa"/>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pPr>
            <w:r>
              <w:rPr>
                <w:color w:val="000000"/>
                <w:sz w:val="20"/>
              </w:rPr>
              <w:t> </w:t>
            </w:r>
          </w:p>
        </w:tc>
        <w:tc>
          <w:tcPr>
            <w:tcW w:w="2595" w:type="dxa"/>
            <w:gridSpan w:val="3"/>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jc w:val="center"/>
            </w:pPr>
            <w:r>
              <w:rPr>
                <w:b/>
                <w:color w:val="000000"/>
                <w:sz w:val="20"/>
              </w:rPr>
              <w:t>December 31,</w:t>
            </w:r>
          </w:p>
        </w:tc>
        <w:tc>
          <w:tcPr>
            <w:tcW w:w="18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2595" w:type="dxa"/>
            <w:gridSpan w:val="3"/>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jc w:val="center"/>
            </w:pPr>
            <w:r>
              <w:rPr>
                <w:b/>
                <w:color w:val="000000"/>
                <w:sz w:val="20"/>
              </w:rPr>
              <w:t>December 31,</w:t>
            </w: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300"/>
        </w:trPr>
        <w:tc>
          <w:tcPr>
            <w:tcW w:w="5430" w:type="dxa"/>
            <w:tcBorders>
              <w:top w:val="nil"/>
              <w:left w:val="nil"/>
              <w:bottom w:val="nil"/>
              <w:right w:val="nil"/>
            </w:tcBorders>
            <w:tcMar>
              <w:top w:w="0" w:type="dxa"/>
              <w:left w:w="53" w:type="dxa"/>
              <w:bottom w:w="0" w:type="dxa"/>
              <w:right w:w="53" w:type="dxa"/>
            </w:tcMar>
            <w:vAlign w:val="bottom"/>
          </w:tcPr>
          <w:p w:rsidR="00DE25E4" w:rsidRDefault="00AD30C9">
            <w:pPr>
              <w:keepNext/>
              <w:spacing w:before="55" w:after="30"/>
            </w:pPr>
            <w:r>
              <w:rPr>
                <w:color w:val="000000"/>
                <w:sz w:val="20"/>
              </w:rPr>
              <w:t> </w:t>
            </w:r>
          </w:p>
        </w:tc>
        <w:tc>
          <w:tcPr>
            <w:tcW w:w="1260" w:type="dxa"/>
            <w:tcBorders>
              <w:top w:val="single" w:sz="8" w:space="0" w:color="000000"/>
              <w:left w:val="nil"/>
              <w:bottom w:val="single" w:sz="8" w:space="0" w:color="000000"/>
              <w:right w:val="nil"/>
            </w:tcBorders>
            <w:tcMar>
              <w:top w:w="0" w:type="dxa"/>
              <w:left w:w="53" w:type="dxa"/>
              <w:bottom w:w="0" w:type="dxa"/>
              <w:right w:w="53" w:type="dxa"/>
            </w:tcMar>
            <w:vAlign w:val="bottom"/>
          </w:tcPr>
          <w:p w:rsidR="00DE25E4" w:rsidRDefault="00AD30C9">
            <w:pPr>
              <w:keepNext/>
              <w:spacing w:before="55" w:after="30"/>
              <w:jc w:val="center"/>
            </w:pPr>
            <w:r>
              <w:rPr>
                <w:b/>
                <w:color w:val="000000"/>
                <w:sz w:val="20"/>
              </w:rPr>
              <w:t>2022</w:t>
            </w:r>
          </w:p>
        </w:tc>
        <w:tc>
          <w:tcPr>
            <w:tcW w:w="75" w:type="dxa"/>
            <w:tcBorders>
              <w:top w:val="single" w:sz="8" w:space="0" w:color="000000"/>
              <w:left w:val="nil"/>
              <w:bottom w:val="nil"/>
              <w:right w:val="nil"/>
            </w:tcBorders>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single" w:sz="8" w:space="0" w:color="000000"/>
              <w:right w:val="nil"/>
            </w:tcBorders>
            <w:tcMar>
              <w:top w:w="0" w:type="dxa"/>
              <w:left w:w="53" w:type="dxa"/>
              <w:bottom w:w="0" w:type="dxa"/>
              <w:right w:w="53" w:type="dxa"/>
            </w:tcMar>
            <w:vAlign w:val="bottom"/>
          </w:tcPr>
          <w:p w:rsidR="00DE25E4" w:rsidRDefault="00AD30C9">
            <w:pPr>
              <w:keepNext/>
              <w:spacing w:before="55" w:after="30"/>
              <w:jc w:val="center"/>
            </w:pPr>
            <w:r>
              <w:rPr>
                <w:b/>
                <w:color w:val="000000"/>
                <w:sz w:val="20"/>
              </w:rPr>
              <w:t>2021</w:t>
            </w:r>
          </w:p>
        </w:tc>
        <w:tc>
          <w:tcPr>
            <w:tcW w:w="18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single" w:sz="8" w:space="0" w:color="000000"/>
              <w:right w:val="nil"/>
            </w:tcBorders>
            <w:tcMar>
              <w:top w:w="0" w:type="dxa"/>
              <w:left w:w="53" w:type="dxa"/>
              <w:bottom w:w="0" w:type="dxa"/>
              <w:right w:w="53" w:type="dxa"/>
            </w:tcMar>
            <w:vAlign w:val="bottom"/>
          </w:tcPr>
          <w:p w:rsidR="00DE25E4" w:rsidRDefault="00AD30C9">
            <w:pPr>
              <w:keepNext/>
              <w:spacing w:before="55" w:after="30"/>
              <w:jc w:val="center"/>
            </w:pPr>
            <w:r>
              <w:rPr>
                <w:b/>
                <w:color w:val="000000"/>
                <w:sz w:val="20"/>
              </w:rPr>
              <w:t>2022</w:t>
            </w:r>
          </w:p>
        </w:tc>
        <w:tc>
          <w:tcPr>
            <w:tcW w:w="75" w:type="dxa"/>
            <w:tcBorders>
              <w:top w:val="single" w:sz="8" w:space="0" w:color="000000"/>
              <w:left w:val="nil"/>
              <w:bottom w:val="nil"/>
              <w:right w:val="nil"/>
            </w:tcBorders>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single" w:sz="8" w:space="0" w:color="000000"/>
              <w:right w:val="nil"/>
            </w:tcBorders>
            <w:tcMar>
              <w:top w:w="0" w:type="dxa"/>
              <w:left w:w="53" w:type="dxa"/>
              <w:bottom w:w="0" w:type="dxa"/>
              <w:right w:w="53" w:type="dxa"/>
            </w:tcMar>
            <w:vAlign w:val="bottom"/>
          </w:tcPr>
          <w:p w:rsidR="00DE25E4" w:rsidRDefault="00AD30C9">
            <w:pPr>
              <w:keepNext/>
              <w:spacing w:before="55" w:after="30"/>
              <w:jc w:val="center"/>
            </w:pPr>
            <w:r>
              <w:rPr>
                <w:b/>
                <w:color w:val="000000"/>
                <w:sz w:val="20"/>
              </w:rPr>
              <w:t>2021</w:t>
            </w: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300"/>
        </w:trPr>
        <w:tc>
          <w:tcPr>
            <w:tcW w:w="5430" w:type="dxa"/>
            <w:tcBorders>
              <w:top w:val="nil"/>
              <w:left w:val="nil"/>
              <w:bottom w:val="nil"/>
              <w:right w:val="nil"/>
            </w:tcBorders>
            <w:tcMar>
              <w:top w:w="0" w:type="dxa"/>
              <w:left w:w="53" w:type="dxa"/>
              <w:bottom w:w="0" w:type="dxa"/>
              <w:right w:w="53" w:type="dxa"/>
            </w:tcMar>
            <w:vAlign w:val="bottom"/>
          </w:tcPr>
          <w:p w:rsidR="00DE25E4" w:rsidRDefault="00AD30C9">
            <w:pPr>
              <w:keepNext/>
              <w:spacing w:before="55" w:after="30"/>
            </w:pPr>
            <w:r>
              <w:rPr>
                <w:color w:val="000000"/>
                <w:sz w:val="20"/>
              </w:rPr>
              <w:t> </w:t>
            </w:r>
          </w:p>
        </w:tc>
        <w:tc>
          <w:tcPr>
            <w:tcW w:w="5370" w:type="dxa"/>
            <w:gridSpan w:val="7"/>
            <w:tcBorders>
              <w:top w:val="nil"/>
              <w:left w:val="nil"/>
              <w:bottom w:val="nil"/>
              <w:right w:val="nil"/>
            </w:tcBorders>
            <w:tcMar>
              <w:top w:w="0" w:type="dxa"/>
              <w:left w:w="53" w:type="dxa"/>
              <w:bottom w:w="0" w:type="dxa"/>
              <w:right w:w="53" w:type="dxa"/>
            </w:tcMar>
            <w:vAlign w:val="bottom"/>
          </w:tcPr>
          <w:p w:rsidR="00DE25E4" w:rsidRDefault="00AD30C9">
            <w:pPr>
              <w:keepNext/>
              <w:spacing w:before="55" w:after="30"/>
              <w:jc w:val="center"/>
            </w:pPr>
            <w:r>
              <w:rPr>
                <w:i/>
                <w:color w:val="000000"/>
                <w:sz w:val="20"/>
              </w:rPr>
              <w:t>(in millions, except per share data)</w:t>
            </w: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8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Net sales</w:t>
            </w: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527"/>
                <w:tab w:val="left" w:pos="1192"/>
              </w:tabs>
              <w:spacing w:before="75" w:after="30"/>
              <w:jc w:val="right"/>
            </w:pPr>
            <w:r>
              <w:rPr>
                <w:b/>
                <w:color w:val="000000"/>
                <w:sz w:val="20"/>
              </w:rPr>
              <w:t>$</w:t>
            </w:r>
            <w:r>
              <w:rPr>
                <w:b/>
                <w:color w:val="000000"/>
                <w:sz w:val="20"/>
              </w:rPr>
              <w:tab/>
              <w:t>1,392.7</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527"/>
                <w:tab w:val="left" w:pos="1192"/>
              </w:tabs>
              <w:spacing w:before="75" w:after="30"/>
              <w:jc w:val="right"/>
            </w:pPr>
            <w:r>
              <w:rPr>
                <w:color w:val="000000"/>
                <w:sz w:val="20"/>
              </w:rPr>
              <w:t>$</w:t>
            </w:r>
            <w:r>
              <w:rPr>
                <w:color w:val="000000"/>
                <w:sz w:val="20"/>
              </w:rPr>
              <w:tab/>
              <w:t>1,235.1</w:t>
            </w:r>
            <w:r>
              <w:rPr>
                <w:color w:val="000000"/>
                <w:sz w:val="20"/>
              </w:rPr>
              <w:tab/>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527"/>
                <w:tab w:val="left" w:pos="1192"/>
              </w:tabs>
              <w:spacing w:before="75" w:after="30"/>
              <w:jc w:val="right"/>
            </w:pPr>
            <w:r>
              <w:rPr>
                <w:b/>
                <w:color w:val="000000"/>
                <w:sz w:val="20"/>
              </w:rPr>
              <w:t>$</w:t>
            </w:r>
            <w:r>
              <w:rPr>
                <w:b/>
                <w:color w:val="000000"/>
                <w:sz w:val="20"/>
              </w:rPr>
              <w:tab/>
              <w:t>5,802.4</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527"/>
                <w:tab w:val="left" w:pos="1192"/>
              </w:tabs>
              <w:spacing w:before="75" w:after="30"/>
              <w:jc w:val="right"/>
            </w:pPr>
            <w:r>
              <w:rPr>
                <w:color w:val="000000"/>
                <w:sz w:val="20"/>
              </w:rPr>
              <w:t>$</w:t>
            </w:r>
            <w:r>
              <w:rPr>
                <w:color w:val="000000"/>
                <w:sz w:val="20"/>
              </w:rPr>
              <w:tab/>
              <w:t>5,156.6</w:t>
            </w:r>
            <w:r>
              <w:rPr>
                <w:color w:val="000000"/>
                <w:sz w:val="20"/>
              </w:rPr>
              <w:tab/>
            </w: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Cost of goods sold</w:t>
            </w: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527"/>
                <w:tab w:val="left" w:pos="1192"/>
              </w:tabs>
              <w:spacing w:before="75" w:after="30"/>
              <w:jc w:val="right"/>
            </w:pPr>
            <w:r>
              <w:rPr>
                <w:b/>
                <w:color w:val="000000"/>
                <w:sz w:val="20"/>
              </w:rPr>
              <w:tab/>
              <w:t>1,225.5</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527"/>
                <w:tab w:val="left" w:pos="1192"/>
              </w:tabs>
              <w:spacing w:before="75" w:after="30"/>
              <w:jc w:val="right"/>
            </w:pPr>
            <w:r>
              <w:rPr>
                <w:color w:val="000000"/>
                <w:sz w:val="20"/>
              </w:rPr>
              <w:tab/>
              <w:t>1,095.1</w:t>
            </w:r>
            <w:r>
              <w:rPr>
                <w:color w:val="000000"/>
                <w:sz w:val="20"/>
              </w:rPr>
              <w:tab/>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527"/>
                <w:tab w:val="left" w:pos="1192"/>
              </w:tabs>
              <w:spacing w:before="75" w:after="30"/>
              <w:jc w:val="right"/>
            </w:pPr>
            <w:r>
              <w:rPr>
                <w:b/>
                <w:color w:val="000000"/>
                <w:sz w:val="20"/>
              </w:rPr>
              <w:tab/>
              <w:t>5,097.5</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527"/>
                <w:tab w:val="left" w:pos="1192"/>
              </w:tabs>
              <w:spacing w:before="75" w:after="30"/>
              <w:jc w:val="right"/>
            </w:pPr>
            <w:r>
              <w:rPr>
                <w:color w:val="000000"/>
                <w:sz w:val="20"/>
              </w:rPr>
              <w:tab/>
              <w:t>4,433.9</w:t>
            </w:r>
            <w:r>
              <w:rPr>
                <w:color w:val="000000"/>
                <w:sz w:val="20"/>
              </w:rPr>
              <w:tab/>
            </w: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single" w:sz="8" w:space="0" w:color="000000"/>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single" w:sz="8" w:space="0" w:color="000000"/>
              <w:right w:val="nil"/>
            </w:tcBorders>
            <w:shd w:val="clear" w:color="auto" w:fill="FFFFFF"/>
            <w:tcMar>
              <w:top w:w="0" w:type="dxa"/>
              <w:left w:w="0" w:type="dxa"/>
              <w:bottom w:w="0" w:type="dxa"/>
              <w:right w:w="0" w:type="dxa"/>
            </w:tcMar>
            <w:vAlign w:val="bottom"/>
          </w:tcPr>
          <w:p w:rsidR="00DE25E4" w:rsidRDefault="00DE25E4">
            <w:pPr>
              <w:keepNext/>
            </w:pP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single" w:sz="8" w:space="0" w:color="000000"/>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single" w:sz="8" w:space="0" w:color="000000"/>
              <w:right w:val="nil"/>
            </w:tcBorders>
            <w:shd w:val="clear" w:color="auto" w:fill="FFFFFF"/>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55" w:after="30"/>
            </w:pPr>
            <w:r>
              <w:rPr>
                <w:color w:val="000000"/>
                <w:sz w:val="20"/>
              </w:rPr>
              <w:t>Gross profit</w:t>
            </w:r>
          </w:p>
        </w:tc>
        <w:tc>
          <w:tcPr>
            <w:tcW w:w="12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77"/>
                <w:tab w:val="left" w:pos="1192"/>
              </w:tabs>
              <w:spacing w:before="55" w:after="30"/>
              <w:jc w:val="right"/>
            </w:pPr>
            <w:r>
              <w:rPr>
                <w:b/>
                <w:color w:val="000000"/>
                <w:sz w:val="20"/>
              </w:rPr>
              <w:tab/>
              <w:t>167.2</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77"/>
                <w:tab w:val="left" w:pos="1192"/>
              </w:tabs>
              <w:spacing w:before="55" w:after="30"/>
              <w:jc w:val="right"/>
            </w:pPr>
            <w:r>
              <w:rPr>
                <w:color w:val="000000"/>
                <w:sz w:val="20"/>
              </w:rPr>
              <w:tab/>
              <w:t>140.0</w:t>
            </w:r>
            <w:r>
              <w:rPr>
                <w:color w:val="000000"/>
                <w:sz w:val="20"/>
              </w:rPr>
              <w:tab/>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77"/>
                <w:tab w:val="left" w:pos="1192"/>
              </w:tabs>
              <w:spacing w:before="55" w:after="30"/>
              <w:jc w:val="right"/>
            </w:pPr>
            <w:r>
              <w:rPr>
                <w:b/>
                <w:color w:val="000000"/>
                <w:sz w:val="20"/>
              </w:rPr>
              <w:tab/>
              <w:t>704.9</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77"/>
                <w:tab w:val="left" w:pos="1192"/>
              </w:tabs>
              <w:spacing w:before="55" w:after="30"/>
              <w:jc w:val="right"/>
            </w:pPr>
            <w:r>
              <w:rPr>
                <w:color w:val="000000"/>
                <w:sz w:val="20"/>
              </w:rPr>
              <w:tab/>
              <w:t>722.7</w:t>
            </w:r>
            <w:r>
              <w:rPr>
                <w:color w:val="000000"/>
                <w:sz w:val="20"/>
              </w:rPr>
              <w:tab/>
            </w: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 xml:space="preserve">Selling, general and </w:t>
            </w:r>
            <w:r>
              <w:rPr>
                <w:color w:val="000000"/>
                <w:sz w:val="20"/>
              </w:rPr>
              <w:t>administrative expenses</w:t>
            </w: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b/>
                <w:color w:val="000000"/>
                <w:sz w:val="20"/>
              </w:rPr>
              <w:tab/>
              <w:t>88.5</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color w:val="000000"/>
                <w:sz w:val="20"/>
              </w:rPr>
              <w:tab/>
              <w:t>77.5</w:t>
            </w:r>
            <w:r>
              <w:rPr>
                <w:color w:val="000000"/>
                <w:sz w:val="20"/>
              </w:rPr>
              <w:tab/>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77"/>
                <w:tab w:val="left" w:pos="1192"/>
              </w:tabs>
              <w:spacing w:before="75" w:after="30"/>
              <w:jc w:val="right"/>
            </w:pPr>
            <w:r>
              <w:rPr>
                <w:b/>
                <w:color w:val="000000"/>
                <w:sz w:val="20"/>
              </w:rPr>
              <w:tab/>
              <w:t>345.1</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77"/>
                <w:tab w:val="left" w:pos="1192"/>
              </w:tabs>
              <w:spacing w:before="75" w:after="30"/>
              <w:jc w:val="right"/>
            </w:pPr>
            <w:r>
              <w:rPr>
                <w:color w:val="000000"/>
                <w:sz w:val="20"/>
              </w:rPr>
              <w:tab/>
              <w:t>344.2</w:t>
            </w:r>
            <w:r>
              <w:rPr>
                <w:color w:val="000000"/>
                <w:sz w:val="20"/>
              </w:rPr>
              <w:tab/>
            </w: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Amortization of intangible assets</w:t>
            </w: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b/>
                <w:color w:val="000000"/>
                <w:sz w:val="20"/>
              </w:rPr>
              <w:tab/>
              <w:t>21.3</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color w:val="000000"/>
                <w:sz w:val="20"/>
              </w:rPr>
              <w:tab/>
              <w:t>21.5</w:t>
            </w:r>
            <w:r>
              <w:rPr>
                <w:color w:val="000000"/>
                <w:sz w:val="20"/>
              </w:rPr>
              <w:tab/>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b/>
                <w:color w:val="000000"/>
                <w:sz w:val="20"/>
              </w:rPr>
              <w:tab/>
              <w:t>85.7</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color w:val="000000"/>
                <w:sz w:val="20"/>
              </w:rPr>
              <w:tab/>
              <w:t>85.8</w:t>
            </w:r>
            <w:r>
              <w:rPr>
                <w:color w:val="000000"/>
                <w:sz w:val="20"/>
              </w:rPr>
              <w:tab/>
            </w: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Restructuring and acquisition-related costs</w:t>
            </w: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877"/>
                <w:tab w:val="left" w:pos="1192"/>
              </w:tabs>
              <w:spacing w:before="75" w:after="30"/>
              <w:jc w:val="right"/>
            </w:pPr>
            <w:r>
              <w:rPr>
                <w:b/>
                <w:color w:val="000000"/>
                <w:sz w:val="20"/>
              </w:rPr>
              <w:tab/>
              <w:t>3.8</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877"/>
                <w:tab w:val="left" w:pos="1192"/>
              </w:tabs>
              <w:spacing w:before="75" w:after="30"/>
              <w:jc w:val="right"/>
            </w:pPr>
            <w:r>
              <w:rPr>
                <w:color w:val="000000"/>
                <w:sz w:val="20"/>
              </w:rPr>
              <w:tab/>
              <w:t>8.6</w:t>
            </w:r>
            <w:r>
              <w:rPr>
                <w:color w:val="000000"/>
                <w:sz w:val="20"/>
              </w:rPr>
              <w:tab/>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b/>
                <w:color w:val="000000"/>
                <w:sz w:val="20"/>
              </w:rPr>
              <w:tab/>
              <w:t>30.2</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color w:val="000000"/>
                <w:sz w:val="20"/>
              </w:rPr>
              <w:tab/>
              <w:t>49.4</w:t>
            </w:r>
            <w:r>
              <w:rPr>
                <w:color w:val="000000"/>
                <w:sz w:val="20"/>
              </w:rPr>
              <w:tab/>
            </w: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 xml:space="preserve">Loss on sale of </w:t>
            </w:r>
            <w:r>
              <w:rPr>
                <w:color w:val="000000"/>
                <w:sz w:val="20"/>
              </w:rPr>
              <w:t>business</w:t>
            </w: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b/>
                <w:color w:val="000000"/>
                <w:sz w:val="20"/>
              </w:rPr>
              <w:tab/>
              <w:t>—</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color w:val="000000"/>
                <w:sz w:val="20"/>
              </w:rPr>
              <w:tab/>
              <w:t>—</w:t>
            </w:r>
            <w:r>
              <w:rPr>
                <w:color w:val="000000"/>
                <w:sz w:val="20"/>
              </w:rPr>
              <w:tab/>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b/>
                <w:color w:val="000000"/>
                <w:sz w:val="20"/>
              </w:rPr>
              <w:tab/>
              <w:t>—</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877"/>
                <w:tab w:val="left" w:pos="1192"/>
              </w:tabs>
              <w:spacing w:before="75" w:after="30"/>
              <w:jc w:val="right"/>
            </w:pPr>
            <w:r>
              <w:rPr>
                <w:color w:val="000000"/>
                <w:sz w:val="20"/>
              </w:rPr>
              <w:tab/>
              <w:t>2.7</w:t>
            </w:r>
            <w:r>
              <w:rPr>
                <w:color w:val="000000"/>
                <w:sz w:val="20"/>
              </w:rPr>
              <w:tab/>
            </w: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single" w:sz="8" w:space="0" w:color="000000"/>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single" w:sz="8" w:space="0" w:color="000000"/>
              <w:right w:val="nil"/>
            </w:tcBorders>
            <w:shd w:val="clear" w:color="auto" w:fill="FFFFFF"/>
            <w:tcMar>
              <w:top w:w="0" w:type="dxa"/>
              <w:left w:w="0" w:type="dxa"/>
              <w:bottom w:w="0" w:type="dxa"/>
              <w:right w:w="0" w:type="dxa"/>
            </w:tcMar>
            <w:vAlign w:val="bottom"/>
          </w:tcPr>
          <w:p w:rsidR="00DE25E4" w:rsidRDefault="00DE25E4">
            <w:pPr>
              <w:keepNext/>
            </w:pP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single" w:sz="8" w:space="0" w:color="000000"/>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single" w:sz="8" w:space="0" w:color="000000"/>
              <w:right w:val="nil"/>
            </w:tcBorders>
            <w:shd w:val="clear" w:color="auto" w:fill="FFFFFF"/>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55" w:after="30"/>
            </w:pPr>
            <w:r>
              <w:rPr>
                <w:color w:val="000000"/>
                <w:sz w:val="20"/>
              </w:rPr>
              <w:t>Operating income</w:t>
            </w:r>
          </w:p>
        </w:tc>
        <w:tc>
          <w:tcPr>
            <w:tcW w:w="12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77"/>
                <w:tab w:val="left" w:pos="1192"/>
              </w:tabs>
              <w:spacing w:before="55" w:after="30"/>
              <w:jc w:val="right"/>
            </w:pPr>
            <w:r>
              <w:rPr>
                <w:b/>
                <w:color w:val="000000"/>
                <w:sz w:val="20"/>
              </w:rPr>
              <w:tab/>
              <w:t>53.6</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77"/>
                <w:tab w:val="left" w:pos="1192"/>
              </w:tabs>
              <w:spacing w:before="55" w:after="30"/>
              <w:jc w:val="right"/>
            </w:pPr>
            <w:r>
              <w:rPr>
                <w:color w:val="000000"/>
                <w:sz w:val="20"/>
              </w:rPr>
              <w:tab/>
              <w:t>32.4</w:t>
            </w:r>
            <w:r>
              <w:rPr>
                <w:color w:val="000000"/>
                <w:sz w:val="20"/>
              </w:rPr>
              <w:tab/>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77"/>
                <w:tab w:val="left" w:pos="1192"/>
              </w:tabs>
              <w:spacing w:before="55" w:after="30"/>
              <w:jc w:val="right"/>
            </w:pPr>
            <w:r>
              <w:rPr>
                <w:b/>
                <w:color w:val="000000"/>
                <w:sz w:val="20"/>
              </w:rPr>
              <w:tab/>
              <w:t>243.9</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77"/>
                <w:tab w:val="left" w:pos="1192"/>
              </w:tabs>
              <w:spacing w:before="55" w:after="30"/>
              <w:jc w:val="right"/>
            </w:pPr>
            <w:r>
              <w:rPr>
                <w:color w:val="000000"/>
                <w:sz w:val="20"/>
              </w:rPr>
              <w:tab/>
              <w:t>240.6</w:t>
            </w:r>
            <w:r>
              <w:rPr>
                <w:color w:val="000000"/>
                <w:sz w:val="20"/>
              </w:rPr>
              <w:tab/>
            </w: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Interest expense</w:t>
            </w: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91"/>
              </w:tabs>
              <w:spacing w:before="75" w:after="30"/>
              <w:jc w:val="right"/>
            </w:pPr>
            <w:r>
              <w:rPr>
                <w:b/>
                <w:color w:val="000000"/>
                <w:sz w:val="20"/>
              </w:rPr>
              <w:tab/>
              <w:t>(42.3)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91"/>
              </w:tabs>
              <w:spacing w:before="75" w:after="30"/>
              <w:jc w:val="right"/>
            </w:pPr>
            <w:r>
              <w:rPr>
                <w:color w:val="000000"/>
                <w:sz w:val="20"/>
              </w:rPr>
              <w:tab/>
              <w:t>(44.5)</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591"/>
              </w:tabs>
              <w:spacing w:before="75" w:after="30"/>
              <w:jc w:val="right"/>
            </w:pPr>
            <w:r>
              <w:rPr>
                <w:b/>
                <w:color w:val="000000"/>
                <w:sz w:val="20"/>
              </w:rPr>
              <w:tab/>
              <w:t>(174.5)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591"/>
              </w:tabs>
              <w:spacing w:before="75" w:after="30"/>
              <w:jc w:val="right"/>
            </w:pPr>
            <w:r>
              <w:rPr>
                <w:color w:val="000000"/>
                <w:sz w:val="20"/>
              </w:rPr>
              <w:tab/>
              <w:t>(195.2)</w:t>
            </w: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Interest income</w:t>
            </w: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877"/>
                <w:tab w:val="left" w:pos="1192"/>
              </w:tabs>
              <w:spacing w:before="75" w:after="30"/>
              <w:jc w:val="right"/>
            </w:pPr>
            <w:r>
              <w:rPr>
                <w:b/>
                <w:color w:val="000000"/>
                <w:sz w:val="20"/>
              </w:rPr>
              <w:tab/>
              <w:t>5.4</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877"/>
                <w:tab w:val="left" w:pos="1192"/>
              </w:tabs>
              <w:spacing w:before="75" w:after="30"/>
              <w:jc w:val="right"/>
            </w:pPr>
            <w:r>
              <w:rPr>
                <w:color w:val="000000"/>
                <w:sz w:val="20"/>
              </w:rPr>
              <w:tab/>
              <w:t>2.7</w:t>
            </w:r>
            <w:r>
              <w:rPr>
                <w:color w:val="000000"/>
                <w:sz w:val="20"/>
              </w:rPr>
              <w:tab/>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b/>
                <w:color w:val="000000"/>
                <w:sz w:val="20"/>
              </w:rPr>
              <w:tab/>
              <w:t>17.0</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color w:val="000000"/>
                <w:sz w:val="20"/>
              </w:rPr>
              <w:tab/>
              <w:t>10.9</w:t>
            </w:r>
            <w:r>
              <w:rPr>
                <w:color w:val="000000"/>
                <w:sz w:val="20"/>
              </w:rPr>
              <w:tab/>
            </w: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 </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Other income (expense):</w:t>
            </w:r>
          </w:p>
        </w:tc>
        <w:tc>
          <w:tcPr>
            <w:tcW w:w="126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ind w:left="240"/>
            </w:pPr>
            <w:r>
              <w:rPr>
                <w:color w:val="000000"/>
                <w:sz w:val="20"/>
              </w:rPr>
              <w:t>Debt refinancing and redemption costs</w:t>
            </w: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791"/>
              </w:tabs>
              <w:spacing w:before="75" w:after="30"/>
              <w:jc w:val="right"/>
            </w:pPr>
            <w:r>
              <w:rPr>
                <w:b/>
                <w:color w:val="000000"/>
                <w:sz w:val="20"/>
              </w:rPr>
              <w:tab/>
              <w:t>(0.4)</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color w:val="000000"/>
                <w:sz w:val="20"/>
              </w:rPr>
              <w:tab/>
              <w:t>—</w:t>
            </w:r>
            <w:r>
              <w:rPr>
                <w:color w:val="000000"/>
                <w:sz w:val="20"/>
              </w:rPr>
              <w:tab/>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791"/>
              </w:tabs>
              <w:spacing w:before="75" w:after="30"/>
              <w:jc w:val="right"/>
            </w:pPr>
            <w:r>
              <w:rPr>
                <w:b/>
                <w:color w:val="000000"/>
                <w:sz w:val="20"/>
              </w:rPr>
              <w:tab/>
              <w:t>(6.4)</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691"/>
              </w:tabs>
              <w:spacing w:before="75" w:after="30"/>
              <w:jc w:val="right"/>
            </w:pPr>
            <w:r>
              <w:rPr>
                <w:color w:val="000000"/>
                <w:sz w:val="20"/>
              </w:rPr>
              <w:tab/>
              <w:t>(34.0)</w:t>
            </w: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ind w:left="240"/>
            </w:pPr>
            <w:r>
              <w:rPr>
                <w:color w:val="000000"/>
                <w:sz w:val="20"/>
              </w:rPr>
              <w:t>Gain on bargain purchase of business</w:t>
            </w: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877"/>
                <w:tab w:val="left" w:pos="1192"/>
              </w:tabs>
              <w:spacing w:before="75" w:after="30"/>
              <w:jc w:val="right"/>
            </w:pPr>
            <w:r>
              <w:rPr>
                <w:b/>
                <w:color w:val="000000"/>
                <w:sz w:val="20"/>
              </w:rPr>
              <w:tab/>
              <w:t>0.6</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DE25E4">
            <w:pPr>
              <w:keepNext/>
              <w:spacing w:before="75" w:after="30"/>
              <w:jc w:val="righ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color w:val="000000"/>
                <w:sz w:val="20"/>
              </w:rPr>
              <w:tab/>
              <w:t>—</w:t>
            </w:r>
            <w:r>
              <w:rPr>
                <w:color w:val="000000"/>
                <w:sz w:val="20"/>
              </w:rPr>
              <w:tab/>
            </w:r>
          </w:p>
        </w:tc>
        <w:tc>
          <w:tcPr>
            <w:tcW w:w="180"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DE25E4">
            <w:pPr>
              <w:keepNext/>
              <w:spacing w:before="75" w:after="30"/>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b/>
                <w:color w:val="000000"/>
                <w:sz w:val="20"/>
              </w:rPr>
              <w:tab/>
              <w:t>13.6</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DE25E4">
            <w:pPr>
              <w:keepNext/>
              <w:spacing w:before="75" w:after="30"/>
              <w:jc w:val="righ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color w:val="000000"/>
                <w:sz w:val="20"/>
              </w:rPr>
              <w:tab/>
              <w:t>—</w:t>
            </w:r>
            <w:r>
              <w:rPr>
                <w:color w:val="000000"/>
                <w:sz w:val="20"/>
              </w:rPr>
              <w:tab/>
            </w: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ind w:left="240"/>
            </w:pPr>
            <w:r>
              <w:rPr>
                <w:color w:val="000000"/>
                <w:sz w:val="20"/>
              </w:rPr>
              <w:t>Pension settlement charges</w:t>
            </w: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b/>
                <w:color w:val="000000"/>
                <w:sz w:val="20"/>
              </w:rPr>
              <w:tab/>
              <w:t>—</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691"/>
              </w:tabs>
              <w:spacing w:before="75" w:after="30"/>
              <w:jc w:val="right"/>
            </w:pPr>
            <w:r>
              <w:rPr>
                <w:color w:val="000000"/>
                <w:sz w:val="20"/>
              </w:rPr>
              <w:tab/>
              <w:t>(42.3)</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b/>
                <w:color w:val="000000"/>
                <w:sz w:val="20"/>
              </w:rPr>
              <w:tab/>
              <w:t>—</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691"/>
              </w:tabs>
              <w:spacing w:before="75" w:after="30"/>
              <w:jc w:val="right"/>
            </w:pPr>
            <w:r>
              <w:rPr>
                <w:color w:val="000000"/>
                <w:sz w:val="20"/>
              </w:rPr>
              <w:tab/>
              <w:t>(42.3)</w:t>
            </w: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ind w:left="240"/>
            </w:pPr>
            <w:r>
              <w:rPr>
                <w:color w:val="000000"/>
                <w:sz w:val="20"/>
              </w:rPr>
              <w:t xml:space="preserve">Unrealized gain (loss) on </w:t>
            </w:r>
            <w:r>
              <w:rPr>
                <w:color w:val="000000"/>
                <w:sz w:val="20"/>
              </w:rPr>
              <w:t>equity securities</w:t>
            </w: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91"/>
              </w:tabs>
              <w:spacing w:before="75" w:after="30"/>
              <w:jc w:val="right"/>
            </w:pPr>
            <w:r>
              <w:rPr>
                <w:b/>
                <w:color w:val="000000"/>
                <w:sz w:val="20"/>
              </w:rPr>
              <w:tab/>
              <w:t>(1.5)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877"/>
                <w:tab w:val="left" w:pos="1192"/>
              </w:tabs>
              <w:spacing w:before="75" w:after="30"/>
              <w:jc w:val="right"/>
            </w:pPr>
            <w:r>
              <w:rPr>
                <w:color w:val="000000"/>
                <w:sz w:val="20"/>
              </w:rPr>
              <w:tab/>
              <w:t>5.0</w:t>
            </w:r>
            <w:r>
              <w:rPr>
                <w:color w:val="000000"/>
                <w:sz w:val="20"/>
              </w:rPr>
              <w:tab/>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91"/>
              </w:tabs>
              <w:spacing w:before="75" w:after="30"/>
              <w:jc w:val="right"/>
            </w:pPr>
            <w:r>
              <w:rPr>
                <w:b/>
                <w:color w:val="000000"/>
                <w:sz w:val="20"/>
              </w:rPr>
              <w:tab/>
              <w:t>(25.5)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color w:val="000000"/>
                <w:sz w:val="20"/>
              </w:rPr>
              <w:tab/>
              <w:t>24.4</w:t>
            </w:r>
            <w:r>
              <w:rPr>
                <w:color w:val="000000"/>
                <w:sz w:val="20"/>
              </w:rPr>
              <w:tab/>
            </w: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ind w:left="240"/>
            </w:pPr>
            <w:r>
              <w:rPr>
                <w:color w:val="000000"/>
                <w:sz w:val="20"/>
              </w:rPr>
              <w:t>Other income (expense), net</w:t>
            </w:r>
          </w:p>
        </w:tc>
        <w:tc>
          <w:tcPr>
            <w:tcW w:w="126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877"/>
                <w:tab w:val="left" w:pos="1192"/>
              </w:tabs>
              <w:spacing w:before="75" w:after="30"/>
              <w:jc w:val="right"/>
            </w:pPr>
            <w:r>
              <w:rPr>
                <w:b/>
                <w:color w:val="000000"/>
                <w:sz w:val="20"/>
              </w:rPr>
              <w:tab/>
              <w:t>2.6</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791"/>
              </w:tabs>
              <w:spacing w:before="75" w:after="30"/>
              <w:jc w:val="right"/>
            </w:pPr>
            <w:r>
              <w:rPr>
                <w:color w:val="000000"/>
                <w:sz w:val="20"/>
              </w:rPr>
              <w:tab/>
              <w:t>(1.9)</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791"/>
              </w:tabs>
              <w:spacing w:before="75" w:after="30"/>
              <w:jc w:val="right"/>
            </w:pPr>
            <w:r>
              <w:rPr>
                <w:b/>
                <w:color w:val="000000"/>
                <w:sz w:val="20"/>
              </w:rPr>
              <w:tab/>
              <w:t>(1.8)</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791"/>
              </w:tabs>
              <w:spacing w:before="75" w:after="30"/>
              <w:jc w:val="right"/>
            </w:pPr>
            <w:r>
              <w:rPr>
                <w:color w:val="000000"/>
                <w:sz w:val="20"/>
              </w:rPr>
              <w:tab/>
              <w:t>(3.2)</w:t>
            </w: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55" w:after="30"/>
            </w:pPr>
            <w:r>
              <w:rPr>
                <w:color w:val="000000"/>
                <w:sz w:val="20"/>
              </w:rPr>
              <w:t> </w:t>
            </w:r>
          </w:p>
        </w:tc>
        <w:tc>
          <w:tcPr>
            <w:tcW w:w="12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Income (loss) before income taxes</w:t>
            </w: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b/>
                <w:color w:val="000000"/>
                <w:sz w:val="20"/>
              </w:rPr>
              <w:tab/>
              <w:t>18.0</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691"/>
              </w:tabs>
              <w:spacing w:before="75" w:after="30"/>
              <w:jc w:val="right"/>
            </w:pPr>
            <w:r>
              <w:rPr>
                <w:color w:val="000000"/>
                <w:sz w:val="20"/>
              </w:rPr>
              <w:tab/>
              <w:t>(48.6)</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b/>
                <w:color w:val="000000"/>
                <w:sz w:val="20"/>
              </w:rPr>
              <w:tab/>
              <w:t>66.3</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877"/>
                <w:tab w:val="left" w:pos="1192"/>
              </w:tabs>
              <w:spacing w:before="75" w:after="30"/>
              <w:jc w:val="right"/>
            </w:pPr>
            <w:r>
              <w:rPr>
                <w:color w:val="000000"/>
                <w:sz w:val="20"/>
              </w:rPr>
              <w:tab/>
              <w:t>1.2</w:t>
            </w:r>
            <w:r>
              <w:rPr>
                <w:color w:val="000000"/>
                <w:sz w:val="20"/>
              </w:rPr>
              <w:tab/>
            </w: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Income tax expense (benefit)</w:t>
            </w: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877"/>
                <w:tab w:val="left" w:pos="1192"/>
              </w:tabs>
              <w:spacing w:before="75" w:after="30"/>
              <w:jc w:val="right"/>
            </w:pPr>
            <w:r>
              <w:rPr>
                <w:b/>
                <w:color w:val="000000"/>
                <w:sz w:val="20"/>
              </w:rPr>
              <w:tab/>
              <w:t>4.1</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791"/>
              </w:tabs>
              <w:spacing w:before="75" w:after="30"/>
              <w:jc w:val="right"/>
            </w:pPr>
            <w:r>
              <w:rPr>
                <w:color w:val="000000"/>
                <w:sz w:val="20"/>
              </w:rPr>
              <w:tab/>
              <w:t>(2.3)</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877"/>
                <w:tab w:val="left" w:pos="1192"/>
              </w:tabs>
              <w:spacing w:before="75" w:after="30"/>
              <w:jc w:val="right"/>
            </w:pPr>
            <w:r>
              <w:rPr>
                <w:b/>
                <w:color w:val="000000"/>
                <w:sz w:val="20"/>
              </w:rPr>
              <w:tab/>
              <w:t>2.0</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791"/>
              </w:tabs>
              <w:spacing w:before="75" w:after="30"/>
              <w:jc w:val="right"/>
            </w:pPr>
            <w:r>
              <w:rPr>
                <w:color w:val="000000"/>
                <w:sz w:val="20"/>
              </w:rPr>
              <w:tab/>
              <w:t>(4.7)</w:t>
            </w: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Net income (loss) attributable to AAM</w:t>
            </w:r>
          </w:p>
        </w:tc>
        <w:tc>
          <w:tcPr>
            <w:tcW w:w="126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b/>
                <w:color w:val="000000"/>
                <w:sz w:val="20"/>
              </w:rPr>
              <w:t>$</w:t>
            </w:r>
            <w:r>
              <w:rPr>
                <w:b/>
                <w:color w:val="000000"/>
                <w:sz w:val="20"/>
              </w:rPr>
              <w:tab/>
              <w:t>13.9</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691"/>
              </w:tabs>
              <w:spacing w:before="75" w:after="30"/>
              <w:jc w:val="right"/>
            </w:pPr>
            <w:r>
              <w:rPr>
                <w:color w:val="000000"/>
                <w:sz w:val="20"/>
              </w:rPr>
              <w:t>$</w:t>
            </w:r>
            <w:r>
              <w:rPr>
                <w:color w:val="000000"/>
                <w:sz w:val="20"/>
              </w:rPr>
              <w:tab/>
              <w:t>(46.3)</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b/>
                <w:color w:val="000000"/>
                <w:sz w:val="20"/>
              </w:rPr>
              <w:t>$</w:t>
            </w:r>
            <w:r>
              <w:rPr>
                <w:b/>
                <w:color w:val="000000"/>
                <w:sz w:val="20"/>
              </w:rPr>
              <w:tab/>
              <w:t>64.3</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877"/>
                <w:tab w:val="left" w:pos="1192"/>
              </w:tabs>
              <w:spacing w:before="75" w:after="30"/>
              <w:jc w:val="right"/>
            </w:pPr>
            <w:r>
              <w:rPr>
                <w:color w:val="000000"/>
                <w:sz w:val="20"/>
              </w:rPr>
              <w:t>$</w:t>
            </w:r>
            <w:r>
              <w:rPr>
                <w:color w:val="000000"/>
                <w:sz w:val="20"/>
              </w:rPr>
              <w:tab/>
              <w:t>5.9</w:t>
            </w:r>
            <w:r>
              <w:rPr>
                <w:color w:val="000000"/>
                <w:sz w:val="20"/>
              </w:rPr>
              <w:tab/>
            </w: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double" w:sz="8" w:space="0" w:color="000000"/>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double" w:sz="8" w:space="0" w:color="000000"/>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double" w:sz="8" w:space="0" w:color="000000"/>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double" w:sz="8" w:space="0" w:color="000000"/>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500"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trPr>
        <w:tc>
          <w:tcPr>
            <w:tcW w:w="5430" w:type="dxa"/>
            <w:tcBorders>
              <w:top w:val="nil"/>
              <w:left w:val="nil"/>
              <w:bottom w:val="nil"/>
              <w:right w:val="nil"/>
            </w:tcBorders>
            <w:shd w:val="clear" w:color="auto" w:fill="FFFFFF"/>
            <w:tcMar>
              <w:top w:w="0" w:type="dxa"/>
              <w:left w:w="53" w:type="dxa"/>
              <w:bottom w:w="0" w:type="dxa"/>
              <w:right w:w="15" w:type="dxa"/>
            </w:tcMar>
            <w:vAlign w:val="bottom"/>
          </w:tcPr>
          <w:p w:rsidR="00DE25E4" w:rsidRDefault="00AD30C9">
            <w:pPr>
              <w:spacing w:before="75" w:after="30"/>
            </w:pPr>
            <w:r>
              <w:rPr>
                <w:color w:val="000000"/>
                <w:sz w:val="20"/>
              </w:rPr>
              <w:t>Diluted earnings (loss) per share</w:t>
            </w:r>
          </w:p>
        </w:tc>
        <w:tc>
          <w:tcPr>
            <w:tcW w:w="126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rsidR="00DE25E4" w:rsidRDefault="00AD30C9">
            <w:pPr>
              <w:tabs>
                <w:tab w:val="left" w:pos="777"/>
                <w:tab w:val="left" w:pos="1192"/>
              </w:tabs>
              <w:spacing w:before="75" w:after="30"/>
              <w:jc w:val="right"/>
            </w:pPr>
            <w:r>
              <w:rPr>
                <w:b/>
                <w:color w:val="000000"/>
                <w:sz w:val="20"/>
              </w:rPr>
              <w:t>$</w:t>
            </w:r>
            <w:r>
              <w:rPr>
                <w:b/>
                <w:color w:val="000000"/>
                <w:sz w:val="20"/>
              </w:rPr>
              <w:tab/>
              <w:t>0.11</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tc>
        <w:tc>
          <w:tcPr>
            <w:tcW w:w="126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rsidR="00DE25E4" w:rsidRDefault="00AD30C9">
            <w:pPr>
              <w:tabs>
                <w:tab w:val="left" w:pos="691"/>
              </w:tabs>
              <w:spacing w:before="75" w:after="30"/>
              <w:jc w:val="right"/>
            </w:pPr>
            <w:r>
              <w:rPr>
                <w:color w:val="000000"/>
                <w:sz w:val="20"/>
              </w:rPr>
              <w:t>$</w:t>
            </w:r>
            <w:r>
              <w:rPr>
                <w:color w:val="000000"/>
                <w:sz w:val="20"/>
              </w:rPr>
              <w:tab/>
              <w:t>(0.41)</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tc>
        <w:tc>
          <w:tcPr>
            <w:tcW w:w="126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rsidR="00DE25E4" w:rsidRDefault="00AD30C9">
            <w:pPr>
              <w:tabs>
                <w:tab w:val="left" w:pos="777"/>
                <w:tab w:val="left" w:pos="1192"/>
              </w:tabs>
              <w:spacing w:before="75" w:after="30"/>
              <w:jc w:val="right"/>
            </w:pPr>
            <w:r>
              <w:rPr>
                <w:b/>
                <w:color w:val="000000"/>
                <w:sz w:val="20"/>
              </w:rPr>
              <w:t>$</w:t>
            </w:r>
            <w:r>
              <w:rPr>
                <w:b/>
                <w:color w:val="000000"/>
                <w:sz w:val="20"/>
              </w:rPr>
              <w:tab/>
              <w:t>0.53</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tc>
        <w:tc>
          <w:tcPr>
            <w:tcW w:w="126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rsidR="00DE25E4" w:rsidRDefault="00AD30C9">
            <w:pPr>
              <w:tabs>
                <w:tab w:val="left" w:pos="777"/>
                <w:tab w:val="left" w:pos="1192"/>
              </w:tabs>
              <w:spacing w:before="75" w:after="30"/>
              <w:jc w:val="right"/>
            </w:pPr>
            <w:r>
              <w:rPr>
                <w:color w:val="000000"/>
                <w:sz w:val="20"/>
              </w:rPr>
              <w:t>$</w:t>
            </w:r>
            <w:r>
              <w:rPr>
                <w:color w:val="000000"/>
                <w:sz w:val="20"/>
              </w:rPr>
              <w:tab/>
              <w:t>0.05</w:t>
            </w:r>
            <w:r>
              <w:rPr>
                <w:color w:val="000000"/>
                <w:sz w:val="20"/>
              </w:rPr>
              <w:tab/>
            </w:r>
          </w:p>
        </w:tc>
        <w:tc>
          <w:tcPr>
            <w:tcW w:w="1500" w:type="dxa"/>
            <w:tcBorders>
              <w:top w:val="nil"/>
              <w:left w:val="nil"/>
              <w:bottom w:val="nil"/>
              <w:right w:val="nil"/>
            </w:tcBorders>
            <w:tcMar>
              <w:top w:w="0" w:type="dxa"/>
              <w:left w:w="0" w:type="dxa"/>
              <w:bottom w:w="0" w:type="dxa"/>
              <w:right w:w="0" w:type="dxa"/>
            </w:tcMar>
            <w:vAlign w:val="bottom"/>
          </w:tcPr>
          <w:p w:rsidR="00DE25E4" w:rsidRDefault="00DE25E4"/>
        </w:tc>
        <w:tc>
          <w:tcPr>
            <w:tcW w:w="1500" w:type="dxa"/>
            <w:tcBorders>
              <w:top w:val="nil"/>
              <w:left w:val="nil"/>
              <w:bottom w:val="nil"/>
              <w:right w:val="nil"/>
            </w:tcBorders>
            <w:tcMar>
              <w:top w:w="0" w:type="dxa"/>
              <w:left w:w="0" w:type="dxa"/>
              <w:bottom w:w="0" w:type="dxa"/>
              <w:right w:w="0" w:type="dxa"/>
            </w:tcMar>
            <w:vAlign w:val="bottom"/>
          </w:tcPr>
          <w:p w:rsidR="00DE25E4" w:rsidRDefault="00DE25E4"/>
        </w:tc>
      </w:tr>
    </w:tbl>
    <w:p w:rsidR="00DE25E4" w:rsidRDefault="00DE25E4">
      <w:pPr>
        <w:spacing w:line="288" w:lineRule="auto"/>
        <w:rPr>
          <w:sz w:val="20"/>
        </w:rPr>
      </w:pPr>
    </w:p>
    <w:p w:rsidR="00DE25E4" w:rsidRDefault="00DE25E4">
      <w:pPr>
        <w:spacing w:line="288" w:lineRule="auto"/>
        <w:rPr>
          <w:sz w:val="20"/>
        </w:rPr>
        <w:sectPr w:rsidR="00DE25E4">
          <w:headerReference w:type="default" r:id="rId10"/>
          <w:footerReference w:type="default" r:id="rId11"/>
          <w:pgSz w:w="12240" w:h="15840"/>
          <w:pgMar w:top="720" w:right="720" w:bottom="720" w:left="720" w:header="0" w:footer="270" w:gutter="0"/>
          <w:cols w:space="708"/>
        </w:sectPr>
      </w:pPr>
    </w:p>
    <w:p w:rsidR="00DE25E4" w:rsidRDefault="00AD30C9">
      <w:pPr>
        <w:spacing w:line="288" w:lineRule="auto"/>
        <w:jc w:val="center"/>
        <w:outlineLvl w:val="0"/>
        <w:rPr>
          <w:b/>
          <w:sz w:val="20"/>
        </w:rPr>
      </w:pPr>
      <w:bookmarkStart w:id="3" w:name="Section3"/>
      <w:bookmarkEnd w:id="3"/>
      <w:r>
        <w:rPr>
          <w:b/>
          <w:sz w:val="20"/>
        </w:rPr>
        <w:lastRenderedPageBreak/>
        <w:t>AMERICAN AXLE &amp; MANUFACTURING HOLDINGS, INC.</w:t>
      </w:r>
    </w:p>
    <w:p w:rsidR="00DE25E4" w:rsidRDefault="00AD30C9">
      <w:pPr>
        <w:spacing w:line="288" w:lineRule="auto"/>
        <w:jc w:val="center"/>
        <w:rPr>
          <w:b/>
          <w:sz w:val="20"/>
        </w:rPr>
      </w:pPr>
      <w:r>
        <w:rPr>
          <w:b/>
          <w:sz w:val="20"/>
        </w:rPr>
        <w:t>CONDENSED CONSOLIDATED BALANCE SHEETS</w:t>
      </w:r>
    </w:p>
    <w:p w:rsidR="00DE25E4" w:rsidRDefault="00AD30C9">
      <w:pPr>
        <w:spacing w:line="288" w:lineRule="auto"/>
        <w:jc w:val="center"/>
        <w:rPr>
          <w:i/>
          <w:sz w:val="20"/>
        </w:rPr>
      </w:pPr>
      <w:r>
        <w:rPr>
          <w:i/>
          <w:sz w:val="20"/>
        </w:rPr>
        <w:t xml:space="preserve">(Unaudited) </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5"/>
        <w:gridCol w:w="1635"/>
        <w:gridCol w:w="75"/>
        <w:gridCol w:w="1635"/>
      </w:tblGrid>
      <w:tr w:rsidR="00DE25E4">
        <w:trPr>
          <w:cantSplit/>
          <w:trHeight w:hRule="exact" w:val="480"/>
          <w:jc w:val="center"/>
        </w:trPr>
        <w:tc>
          <w:tcPr>
            <w:tcW w:w="745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635" w:type="dxa"/>
            <w:tcBorders>
              <w:top w:val="nil"/>
              <w:left w:val="nil"/>
              <w:bottom w:val="single" w:sz="8" w:space="0" w:color="000000"/>
              <w:right w:val="nil"/>
            </w:tcBorders>
            <w:tcMar>
              <w:top w:w="0" w:type="dxa"/>
              <w:left w:w="53" w:type="dxa"/>
              <w:bottom w:w="0" w:type="dxa"/>
              <w:right w:w="53" w:type="dxa"/>
            </w:tcMar>
            <w:vAlign w:val="bottom"/>
          </w:tcPr>
          <w:p w:rsidR="00DE25E4" w:rsidRDefault="00AD30C9">
            <w:pPr>
              <w:keepNext/>
              <w:spacing w:before="75" w:after="30"/>
              <w:jc w:val="center"/>
            </w:pPr>
            <w:r>
              <w:rPr>
                <w:b/>
                <w:color w:val="000000"/>
                <w:sz w:val="20"/>
              </w:rPr>
              <w:t>December 31, 2022</w:t>
            </w:r>
          </w:p>
        </w:tc>
        <w:tc>
          <w:tcPr>
            <w:tcW w:w="7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635" w:type="dxa"/>
            <w:tcBorders>
              <w:top w:val="nil"/>
              <w:left w:val="nil"/>
              <w:bottom w:val="single" w:sz="8" w:space="0" w:color="000000"/>
              <w:right w:val="nil"/>
            </w:tcBorders>
            <w:tcMar>
              <w:top w:w="0" w:type="dxa"/>
              <w:left w:w="53" w:type="dxa"/>
              <w:bottom w:w="0" w:type="dxa"/>
              <w:right w:w="53" w:type="dxa"/>
            </w:tcMar>
            <w:vAlign w:val="bottom"/>
          </w:tcPr>
          <w:p w:rsidR="00DE25E4" w:rsidRDefault="00AD30C9">
            <w:pPr>
              <w:keepNext/>
              <w:spacing w:before="75" w:after="30"/>
              <w:jc w:val="center"/>
            </w:pPr>
            <w:r>
              <w:rPr>
                <w:b/>
                <w:color w:val="000000"/>
                <w:sz w:val="20"/>
              </w:rPr>
              <w:t>December 31, 2021</w:t>
            </w:r>
          </w:p>
        </w:tc>
      </w:tr>
      <w:tr w:rsidR="00DE25E4">
        <w:trPr>
          <w:cantSplit/>
          <w:trHeight w:hRule="exact" w:val="240"/>
          <w:jc w:val="center"/>
        </w:trPr>
        <w:tc>
          <w:tcPr>
            <w:tcW w:w="7455" w:type="dxa"/>
            <w:tcBorders>
              <w:top w:val="nil"/>
              <w:left w:val="nil"/>
              <w:bottom w:val="nil"/>
              <w:right w:val="nil"/>
            </w:tcBorders>
            <w:tcMar>
              <w:top w:w="0" w:type="dxa"/>
              <w:left w:w="53" w:type="dxa"/>
              <w:bottom w:w="0" w:type="dxa"/>
              <w:right w:w="53" w:type="dxa"/>
            </w:tcMar>
            <w:vAlign w:val="bottom"/>
          </w:tcPr>
          <w:p w:rsidR="00DE25E4" w:rsidRDefault="00AD30C9">
            <w:pPr>
              <w:keepNext/>
              <w:spacing w:before="55" w:after="30"/>
            </w:pPr>
            <w:r>
              <w:rPr>
                <w:color w:val="000000"/>
                <w:sz w:val="20"/>
              </w:rPr>
              <w:t> </w:t>
            </w:r>
          </w:p>
        </w:tc>
        <w:tc>
          <w:tcPr>
            <w:tcW w:w="3345" w:type="dxa"/>
            <w:gridSpan w:val="3"/>
            <w:tcBorders>
              <w:top w:val="nil"/>
              <w:left w:val="nil"/>
              <w:bottom w:val="nil"/>
              <w:right w:val="nil"/>
            </w:tcBorders>
            <w:tcMar>
              <w:top w:w="0" w:type="dxa"/>
              <w:left w:w="53" w:type="dxa"/>
              <w:bottom w:w="0" w:type="dxa"/>
              <w:right w:w="53" w:type="dxa"/>
            </w:tcMar>
            <w:vAlign w:val="bottom"/>
          </w:tcPr>
          <w:p w:rsidR="00DE25E4" w:rsidRDefault="00AD30C9">
            <w:pPr>
              <w:keepNext/>
              <w:spacing w:before="55" w:after="30"/>
              <w:jc w:val="center"/>
            </w:pPr>
            <w:r>
              <w:rPr>
                <w:i/>
                <w:color w:val="000000"/>
                <w:sz w:val="18"/>
              </w:rPr>
              <w:t>(in millions)</w:t>
            </w:r>
          </w:p>
        </w:tc>
      </w:tr>
      <w:tr w:rsidR="00DE25E4">
        <w:trPr>
          <w:cantSplit/>
          <w:trHeight w:hRule="exact" w:val="285"/>
          <w:jc w:val="center"/>
        </w:trPr>
        <w:tc>
          <w:tcPr>
            <w:tcW w:w="7455" w:type="dxa"/>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jc w:val="center"/>
            </w:pPr>
            <w:r>
              <w:rPr>
                <w:b/>
                <w:color w:val="000000"/>
                <w:sz w:val="20"/>
                <w:u w:val="single"/>
              </w:rPr>
              <w:t>ASSETS</w:t>
            </w:r>
          </w:p>
        </w:tc>
        <w:tc>
          <w:tcPr>
            <w:tcW w:w="163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635"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285"/>
          <w:jc w:val="center"/>
        </w:trPr>
        <w:tc>
          <w:tcPr>
            <w:tcW w:w="745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b/>
                <w:color w:val="000000"/>
                <w:sz w:val="20"/>
              </w:rPr>
              <w:t>Current assets</w:t>
            </w:r>
          </w:p>
        </w:tc>
        <w:tc>
          <w:tcPr>
            <w:tcW w:w="3345" w:type="dxa"/>
            <w:gridSpan w:val="3"/>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 </w:t>
            </w:r>
          </w:p>
        </w:tc>
      </w:tr>
      <w:tr w:rsidR="00DE25E4">
        <w:trPr>
          <w:cantSplit/>
          <w:trHeight w:hRule="exact" w:val="285"/>
          <w:jc w:val="center"/>
        </w:trPr>
        <w:tc>
          <w:tcPr>
            <w:tcW w:w="745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ind w:left="120"/>
            </w:pPr>
            <w:r>
              <w:rPr>
                <w:color w:val="000000"/>
                <w:sz w:val="20"/>
              </w:rPr>
              <w:t>Cash and cash equivalents</w:t>
            </w:r>
          </w:p>
        </w:tc>
        <w:tc>
          <w:tcPr>
            <w:tcW w:w="163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1052"/>
                <w:tab w:val="left" w:pos="1567"/>
              </w:tabs>
              <w:spacing w:before="75" w:after="30"/>
              <w:jc w:val="right"/>
            </w:pPr>
            <w:r>
              <w:rPr>
                <w:b/>
                <w:color w:val="000000"/>
                <w:sz w:val="20"/>
              </w:rPr>
              <w:t>$</w:t>
            </w:r>
            <w:r>
              <w:rPr>
                <w:b/>
                <w:color w:val="000000"/>
                <w:sz w:val="20"/>
              </w:rPr>
              <w:tab/>
              <w:t>511.5</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63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1052"/>
                <w:tab w:val="left" w:pos="1567"/>
              </w:tabs>
              <w:spacing w:before="75" w:after="30"/>
              <w:jc w:val="right"/>
            </w:pPr>
            <w:r>
              <w:rPr>
                <w:color w:val="000000"/>
                <w:sz w:val="20"/>
              </w:rPr>
              <w:t>$</w:t>
            </w:r>
            <w:r>
              <w:rPr>
                <w:color w:val="000000"/>
                <w:sz w:val="20"/>
              </w:rPr>
              <w:tab/>
              <w:t>530.2</w:t>
            </w:r>
            <w:r>
              <w:rPr>
                <w:color w:val="000000"/>
                <w:sz w:val="20"/>
              </w:rPr>
              <w:tab/>
            </w:r>
          </w:p>
        </w:tc>
      </w:tr>
      <w:tr w:rsidR="00DE25E4">
        <w:trPr>
          <w:cantSplit/>
          <w:trHeight w:hRule="exact" w:val="285"/>
          <w:jc w:val="center"/>
        </w:trPr>
        <w:tc>
          <w:tcPr>
            <w:tcW w:w="745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ind w:left="120"/>
            </w:pPr>
            <w:r>
              <w:rPr>
                <w:color w:val="000000"/>
                <w:sz w:val="20"/>
              </w:rPr>
              <w:t>Accounts receivable, net</w:t>
            </w:r>
          </w:p>
        </w:tc>
        <w:tc>
          <w:tcPr>
            <w:tcW w:w="163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1052"/>
                <w:tab w:val="left" w:pos="1567"/>
              </w:tabs>
              <w:spacing w:before="75" w:after="30"/>
              <w:jc w:val="right"/>
            </w:pPr>
            <w:r>
              <w:rPr>
                <w:b/>
                <w:color w:val="000000"/>
                <w:sz w:val="20"/>
              </w:rPr>
              <w:tab/>
              <w:t>820.2</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63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1052"/>
                <w:tab w:val="left" w:pos="1567"/>
              </w:tabs>
              <w:spacing w:before="75" w:after="30"/>
              <w:jc w:val="right"/>
            </w:pPr>
            <w:r>
              <w:rPr>
                <w:color w:val="000000"/>
                <w:sz w:val="20"/>
              </w:rPr>
              <w:tab/>
              <w:t>762.8</w:t>
            </w:r>
            <w:r>
              <w:rPr>
                <w:color w:val="000000"/>
                <w:sz w:val="20"/>
              </w:rPr>
              <w:tab/>
            </w:r>
          </w:p>
        </w:tc>
      </w:tr>
      <w:tr w:rsidR="00DE25E4">
        <w:trPr>
          <w:cantSplit/>
          <w:trHeight w:hRule="exact" w:val="285"/>
          <w:jc w:val="center"/>
        </w:trPr>
        <w:tc>
          <w:tcPr>
            <w:tcW w:w="745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ind w:left="120"/>
            </w:pPr>
            <w:r>
              <w:rPr>
                <w:color w:val="000000"/>
                <w:sz w:val="20"/>
              </w:rPr>
              <w:t>Inventories, net</w:t>
            </w:r>
          </w:p>
        </w:tc>
        <w:tc>
          <w:tcPr>
            <w:tcW w:w="163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1052"/>
                <w:tab w:val="left" w:pos="1567"/>
              </w:tabs>
              <w:spacing w:before="75" w:after="30"/>
              <w:jc w:val="right"/>
            </w:pPr>
            <w:r>
              <w:rPr>
                <w:b/>
                <w:color w:val="000000"/>
                <w:sz w:val="20"/>
              </w:rPr>
              <w:tab/>
              <w:t>463.9</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63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1052"/>
                <w:tab w:val="left" w:pos="1567"/>
              </w:tabs>
              <w:spacing w:before="75" w:after="30"/>
              <w:jc w:val="right"/>
            </w:pPr>
            <w:r>
              <w:rPr>
                <w:color w:val="000000"/>
                <w:sz w:val="20"/>
              </w:rPr>
              <w:tab/>
              <w:t>410.4</w:t>
            </w:r>
            <w:r>
              <w:rPr>
                <w:color w:val="000000"/>
                <w:sz w:val="20"/>
              </w:rPr>
              <w:tab/>
            </w:r>
          </w:p>
        </w:tc>
      </w:tr>
      <w:tr w:rsidR="00DE25E4">
        <w:trPr>
          <w:cantSplit/>
          <w:trHeight w:hRule="exact" w:val="285"/>
          <w:jc w:val="center"/>
        </w:trPr>
        <w:tc>
          <w:tcPr>
            <w:tcW w:w="745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ind w:left="120"/>
            </w:pPr>
            <w:r>
              <w:rPr>
                <w:color w:val="000000"/>
                <w:sz w:val="20"/>
              </w:rPr>
              <w:t>Prepaid expenses and other</w:t>
            </w:r>
          </w:p>
        </w:tc>
        <w:tc>
          <w:tcPr>
            <w:tcW w:w="163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DE25E4" w:rsidRDefault="00AD30C9">
            <w:pPr>
              <w:keepNext/>
              <w:tabs>
                <w:tab w:val="left" w:pos="1052"/>
                <w:tab w:val="left" w:pos="1567"/>
              </w:tabs>
              <w:spacing w:before="75" w:after="30"/>
              <w:jc w:val="right"/>
            </w:pPr>
            <w:r>
              <w:rPr>
                <w:b/>
                <w:color w:val="000000"/>
                <w:sz w:val="20"/>
              </w:rPr>
              <w:tab/>
            </w:r>
            <w:r>
              <w:rPr>
                <w:b/>
                <w:color w:val="000000"/>
                <w:sz w:val="20"/>
              </w:rPr>
              <w:t>197.8</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63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DE25E4" w:rsidRDefault="00AD30C9">
            <w:pPr>
              <w:keepNext/>
              <w:tabs>
                <w:tab w:val="left" w:pos="1052"/>
                <w:tab w:val="left" w:pos="1567"/>
              </w:tabs>
              <w:spacing w:before="75" w:after="30"/>
              <w:jc w:val="right"/>
            </w:pPr>
            <w:r>
              <w:rPr>
                <w:color w:val="000000"/>
                <w:sz w:val="20"/>
              </w:rPr>
              <w:tab/>
              <w:t>152.6</w:t>
            </w:r>
            <w:r>
              <w:rPr>
                <w:color w:val="000000"/>
                <w:sz w:val="20"/>
              </w:rPr>
              <w:tab/>
            </w:r>
          </w:p>
        </w:tc>
      </w:tr>
      <w:tr w:rsidR="00DE25E4">
        <w:trPr>
          <w:cantSplit/>
          <w:trHeight w:hRule="exact" w:val="285"/>
          <w:jc w:val="center"/>
        </w:trPr>
        <w:tc>
          <w:tcPr>
            <w:tcW w:w="745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55" w:after="30"/>
            </w:pPr>
            <w:r>
              <w:rPr>
                <w:b/>
                <w:color w:val="000000"/>
                <w:sz w:val="20"/>
              </w:rPr>
              <w:t>Total current assets</w:t>
            </w:r>
          </w:p>
        </w:tc>
        <w:tc>
          <w:tcPr>
            <w:tcW w:w="163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902"/>
                <w:tab w:val="left" w:pos="1567"/>
              </w:tabs>
              <w:spacing w:before="55" w:after="30"/>
              <w:jc w:val="right"/>
            </w:pPr>
            <w:r>
              <w:rPr>
                <w:b/>
                <w:color w:val="000000"/>
                <w:sz w:val="20"/>
              </w:rPr>
              <w:tab/>
              <w:t>1,993.4</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63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902"/>
                <w:tab w:val="left" w:pos="1567"/>
              </w:tabs>
              <w:spacing w:before="55" w:after="30"/>
              <w:jc w:val="right"/>
            </w:pPr>
            <w:r>
              <w:rPr>
                <w:color w:val="000000"/>
                <w:sz w:val="20"/>
              </w:rPr>
              <w:tab/>
              <w:t>1,856.0</w:t>
            </w:r>
            <w:r>
              <w:rPr>
                <w:color w:val="000000"/>
                <w:sz w:val="20"/>
              </w:rPr>
              <w:tab/>
            </w:r>
          </w:p>
        </w:tc>
      </w:tr>
      <w:tr w:rsidR="00DE25E4">
        <w:trPr>
          <w:cantSplit/>
          <w:trHeight w:hRule="exact" w:val="285"/>
          <w:jc w:val="center"/>
        </w:trPr>
        <w:tc>
          <w:tcPr>
            <w:tcW w:w="745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63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63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r>
      <w:tr w:rsidR="00DE25E4">
        <w:trPr>
          <w:cantSplit/>
          <w:trHeight w:hRule="exact" w:val="285"/>
          <w:jc w:val="center"/>
        </w:trPr>
        <w:tc>
          <w:tcPr>
            <w:tcW w:w="745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Property, plant and equipment, net</w:t>
            </w:r>
          </w:p>
        </w:tc>
        <w:tc>
          <w:tcPr>
            <w:tcW w:w="163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902"/>
                <w:tab w:val="left" w:pos="1567"/>
              </w:tabs>
              <w:spacing w:before="75" w:after="30"/>
              <w:jc w:val="right"/>
            </w:pPr>
            <w:r>
              <w:rPr>
                <w:b/>
                <w:color w:val="000000"/>
                <w:sz w:val="20"/>
              </w:rPr>
              <w:tab/>
              <w:t>1,903.0</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63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902"/>
                <w:tab w:val="left" w:pos="1567"/>
              </w:tabs>
              <w:spacing w:before="75" w:after="30"/>
              <w:jc w:val="right"/>
            </w:pPr>
            <w:r>
              <w:rPr>
                <w:color w:val="000000"/>
                <w:sz w:val="20"/>
              </w:rPr>
              <w:tab/>
              <w:t>1,996.1</w:t>
            </w:r>
            <w:r>
              <w:rPr>
                <w:color w:val="000000"/>
                <w:sz w:val="20"/>
              </w:rPr>
              <w:tab/>
            </w:r>
          </w:p>
        </w:tc>
      </w:tr>
      <w:tr w:rsidR="00DE25E4">
        <w:trPr>
          <w:cantSplit/>
          <w:trHeight w:hRule="exact" w:val="285"/>
          <w:jc w:val="center"/>
        </w:trPr>
        <w:tc>
          <w:tcPr>
            <w:tcW w:w="745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Deferred income taxes</w:t>
            </w:r>
          </w:p>
        </w:tc>
        <w:tc>
          <w:tcPr>
            <w:tcW w:w="163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1052"/>
                <w:tab w:val="left" w:pos="1567"/>
              </w:tabs>
              <w:spacing w:before="75" w:after="30"/>
              <w:jc w:val="right"/>
            </w:pPr>
            <w:r>
              <w:rPr>
                <w:b/>
                <w:color w:val="000000"/>
                <w:sz w:val="20"/>
              </w:rPr>
              <w:tab/>
              <w:t>119.0</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63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1052"/>
                <w:tab w:val="left" w:pos="1567"/>
              </w:tabs>
              <w:spacing w:before="75" w:after="30"/>
              <w:jc w:val="right"/>
            </w:pPr>
            <w:r>
              <w:rPr>
                <w:color w:val="000000"/>
                <w:sz w:val="20"/>
              </w:rPr>
              <w:tab/>
              <w:t>121.1</w:t>
            </w:r>
            <w:r>
              <w:rPr>
                <w:color w:val="000000"/>
                <w:sz w:val="20"/>
              </w:rPr>
              <w:tab/>
            </w:r>
          </w:p>
        </w:tc>
      </w:tr>
      <w:tr w:rsidR="00DE25E4">
        <w:trPr>
          <w:cantSplit/>
          <w:trHeight w:hRule="exact" w:val="285"/>
          <w:jc w:val="center"/>
        </w:trPr>
        <w:tc>
          <w:tcPr>
            <w:tcW w:w="745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Goodwill</w:t>
            </w:r>
          </w:p>
        </w:tc>
        <w:tc>
          <w:tcPr>
            <w:tcW w:w="163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1052"/>
                <w:tab w:val="left" w:pos="1567"/>
              </w:tabs>
              <w:spacing w:before="75" w:after="30"/>
              <w:jc w:val="right"/>
            </w:pPr>
            <w:r>
              <w:rPr>
                <w:b/>
                <w:color w:val="000000"/>
                <w:sz w:val="20"/>
              </w:rPr>
              <w:tab/>
              <w:t>181.6</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63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1052"/>
                <w:tab w:val="left" w:pos="1567"/>
              </w:tabs>
              <w:spacing w:before="75" w:after="30"/>
              <w:jc w:val="right"/>
            </w:pPr>
            <w:r>
              <w:rPr>
                <w:color w:val="000000"/>
                <w:sz w:val="20"/>
              </w:rPr>
              <w:tab/>
              <w:t>183.8</w:t>
            </w:r>
            <w:r>
              <w:rPr>
                <w:color w:val="000000"/>
                <w:sz w:val="20"/>
              </w:rPr>
              <w:tab/>
            </w:r>
          </w:p>
        </w:tc>
      </w:tr>
      <w:tr w:rsidR="00DE25E4">
        <w:trPr>
          <w:cantSplit/>
          <w:trHeight w:hRule="exact" w:val="285"/>
          <w:jc w:val="center"/>
        </w:trPr>
        <w:tc>
          <w:tcPr>
            <w:tcW w:w="745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Other intangible assets, net</w:t>
            </w:r>
          </w:p>
        </w:tc>
        <w:tc>
          <w:tcPr>
            <w:tcW w:w="163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1052"/>
                <w:tab w:val="left" w:pos="1567"/>
              </w:tabs>
              <w:spacing w:before="75" w:after="30"/>
              <w:jc w:val="right"/>
            </w:pPr>
            <w:r>
              <w:rPr>
                <w:b/>
                <w:color w:val="000000"/>
                <w:sz w:val="20"/>
              </w:rPr>
              <w:tab/>
              <w:t>616.2</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63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1052"/>
                <w:tab w:val="left" w:pos="1567"/>
              </w:tabs>
              <w:spacing w:before="75" w:after="30"/>
              <w:jc w:val="right"/>
            </w:pPr>
            <w:r>
              <w:rPr>
                <w:color w:val="000000"/>
                <w:sz w:val="20"/>
              </w:rPr>
              <w:tab/>
              <w:t>697.2</w:t>
            </w:r>
            <w:r>
              <w:rPr>
                <w:color w:val="000000"/>
                <w:sz w:val="20"/>
              </w:rPr>
              <w:tab/>
            </w:r>
          </w:p>
        </w:tc>
      </w:tr>
      <w:tr w:rsidR="00DE25E4">
        <w:trPr>
          <w:cantSplit/>
          <w:trHeight w:hRule="exact" w:val="285"/>
          <w:jc w:val="center"/>
        </w:trPr>
        <w:tc>
          <w:tcPr>
            <w:tcW w:w="745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 xml:space="preserve">GM </w:t>
            </w:r>
            <w:r>
              <w:rPr>
                <w:color w:val="000000"/>
                <w:sz w:val="20"/>
              </w:rPr>
              <w:t>postretirement cost sharing asset</w:t>
            </w:r>
          </w:p>
        </w:tc>
        <w:tc>
          <w:tcPr>
            <w:tcW w:w="163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1052"/>
                <w:tab w:val="left" w:pos="1567"/>
              </w:tabs>
              <w:spacing w:before="75" w:after="30"/>
              <w:jc w:val="right"/>
            </w:pPr>
            <w:r>
              <w:rPr>
                <w:b/>
                <w:color w:val="000000"/>
                <w:sz w:val="20"/>
              </w:rPr>
              <w:tab/>
              <w:t>127.6</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63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1052"/>
                <w:tab w:val="left" w:pos="1567"/>
              </w:tabs>
              <w:spacing w:before="75" w:after="30"/>
              <w:jc w:val="right"/>
            </w:pPr>
            <w:r>
              <w:rPr>
                <w:color w:val="000000"/>
                <w:sz w:val="20"/>
              </w:rPr>
              <w:tab/>
              <w:t>201.1</w:t>
            </w:r>
            <w:r>
              <w:rPr>
                <w:color w:val="000000"/>
                <w:sz w:val="20"/>
              </w:rPr>
              <w:tab/>
            </w:r>
          </w:p>
        </w:tc>
      </w:tr>
      <w:tr w:rsidR="00DE25E4">
        <w:trPr>
          <w:cantSplit/>
          <w:trHeight w:hRule="exact" w:val="285"/>
          <w:jc w:val="center"/>
        </w:trPr>
        <w:tc>
          <w:tcPr>
            <w:tcW w:w="745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Operating lease right-of-use asset</w:t>
            </w:r>
          </w:p>
        </w:tc>
        <w:tc>
          <w:tcPr>
            <w:tcW w:w="163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1052"/>
                <w:tab w:val="left" w:pos="1567"/>
              </w:tabs>
              <w:spacing w:before="75" w:after="30"/>
              <w:jc w:val="right"/>
            </w:pPr>
            <w:r>
              <w:rPr>
                <w:b/>
                <w:color w:val="000000"/>
                <w:sz w:val="20"/>
              </w:rPr>
              <w:tab/>
              <w:t>107.2</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63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1052"/>
                <w:tab w:val="left" w:pos="1567"/>
              </w:tabs>
              <w:spacing w:before="75" w:after="30"/>
              <w:jc w:val="right"/>
            </w:pPr>
            <w:r>
              <w:rPr>
                <w:color w:val="000000"/>
                <w:sz w:val="20"/>
              </w:rPr>
              <w:tab/>
              <w:t>123.7</w:t>
            </w:r>
            <w:r>
              <w:rPr>
                <w:color w:val="000000"/>
                <w:sz w:val="20"/>
              </w:rPr>
              <w:tab/>
            </w:r>
          </w:p>
        </w:tc>
      </w:tr>
      <w:tr w:rsidR="00DE25E4">
        <w:trPr>
          <w:cantSplit/>
          <w:trHeight w:hRule="exact" w:val="285"/>
          <w:jc w:val="center"/>
        </w:trPr>
        <w:tc>
          <w:tcPr>
            <w:tcW w:w="745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Other assets and deferred charges</w:t>
            </w:r>
          </w:p>
        </w:tc>
        <w:tc>
          <w:tcPr>
            <w:tcW w:w="163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1052"/>
                <w:tab w:val="left" w:pos="1567"/>
              </w:tabs>
              <w:spacing w:before="75" w:after="30"/>
              <w:jc w:val="right"/>
            </w:pPr>
            <w:r>
              <w:rPr>
                <w:b/>
                <w:color w:val="000000"/>
                <w:sz w:val="20"/>
              </w:rPr>
              <w:tab/>
              <w:t>421.4</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63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1052"/>
                <w:tab w:val="left" w:pos="1567"/>
              </w:tabs>
              <w:spacing w:before="75" w:after="30"/>
              <w:jc w:val="right"/>
            </w:pPr>
            <w:r>
              <w:rPr>
                <w:color w:val="000000"/>
                <w:sz w:val="20"/>
              </w:rPr>
              <w:tab/>
              <w:t>456.7</w:t>
            </w:r>
            <w:r>
              <w:rPr>
                <w:color w:val="000000"/>
                <w:sz w:val="20"/>
              </w:rPr>
              <w:tab/>
            </w:r>
          </w:p>
        </w:tc>
      </w:tr>
      <w:tr w:rsidR="00DE25E4">
        <w:trPr>
          <w:cantSplit/>
          <w:trHeight w:hRule="exact" w:val="285"/>
          <w:jc w:val="center"/>
        </w:trPr>
        <w:tc>
          <w:tcPr>
            <w:tcW w:w="745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55" w:after="30"/>
            </w:pPr>
            <w:r>
              <w:rPr>
                <w:b/>
                <w:color w:val="000000"/>
                <w:sz w:val="20"/>
              </w:rPr>
              <w:t>Total assets</w:t>
            </w:r>
          </w:p>
        </w:tc>
        <w:tc>
          <w:tcPr>
            <w:tcW w:w="163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DE25E4" w:rsidRDefault="00AD30C9">
            <w:pPr>
              <w:keepNext/>
              <w:tabs>
                <w:tab w:val="left" w:pos="902"/>
                <w:tab w:val="left" w:pos="1567"/>
              </w:tabs>
              <w:spacing w:before="55" w:after="30"/>
              <w:jc w:val="right"/>
            </w:pPr>
            <w:r>
              <w:rPr>
                <w:b/>
                <w:color w:val="000000"/>
                <w:sz w:val="20"/>
              </w:rPr>
              <w:t>$</w:t>
            </w:r>
            <w:r>
              <w:rPr>
                <w:b/>
                <w:color w:val="000000"/>
                <w:sz w:val="20"/>
              </w:rPr>
              <w:tab/>
              <w:t>5,469.4</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63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DE25E4" w:rsidRDefault="00AD30C9">
            <w:pPr>
              <w:keepNext/>
              <w:tabs>
                <w:tab w:val="left" w:pos="902"/>
                <w:tab w:val="left" w:pos="1567"/>
              </w:tabs>
              <w:spacing w:before="55" w:after="30"/>
              <w:jc w:val="right"/>
            </w:pPr>
            <w:r>
              <w:rPr>
                <w:color w:val="000000"/>
                <w:sz w:val="20"/>
              </w:rPr>
              <w:t>$</w:t>
            </w:r>
            <w:r>
              <w:rPr>
                <w:color w:val="000000"/>
                <w:sz w:val="20"/>
              </w:rPr>
              <w:tab/>
              <w:t>5,635.7</w:t>
            </w:r>
            <w:r>
              <w:rPr>
                <w:color w:val="000000"/>
                <w:sz w:val="20"/>
              </w:rPr>
              <w:tab/>
            </w:r>
          </w:p>
        </w:tc>
      </w:tr>
      <w:tr w:rsidR="00DE25E4">
        <w:trPr>
          <w:cantSplit/>
          <w:trHeight w:hRule="exact" w:val="285"/>
          <w:jc w:val="center"/>
        </w:trPr>
        <w:tc>
          <w:tcPr>
            <w:tcW w:w="745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635" w:type="dxa"/>
            <w:tcBorders>
              <w:top w:val="double" w:sz="8" w:space="0" w:color="000000"/>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15" w:after="30"/>
            </w:pPr>
            <w:r>
              <w:rPr>
                <w:b/>
                <w:color w:val="000000"/>
                <w:sz w:val="20"/>
              </w:rPr>
              <w:t>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635" w:type="dxa"/>
            <w:tcBorders>
              <w:top w:val="double" w:sz="8" w:space="0" w:color="000000"/>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15" w:after="30"/>
            </w:pPr>
            <w:r>
              <w:rPr>
                <w:b/>
                <w:color w:val="000000"/>
                <w:sz w:val="20"/>
              </w:rPr>
              <w:t> </w:t>
            </w:r>
          </w:p>
        </w:tc>
      </w:tr>
      <w:tr w:rsidR="00DE25E4">
        <w:trPr>
          <w:cantSplit/>
          <w:trHeight w:hRule="exact" w:val="285"/>
          <w:jc w:val="center"/>
        </w:trPr>
        <w:tc>
          <w:tcPr>
            <w:tcW w:w="745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jc w:val="center"/>
            </w:pPr>
            <w:r>
              <w:rPr>
                <w:b/>
                <w:color w:val="000000"/>
                <w:sz w:val="20"/>
                <w:u w:val="single"/>
              </w:rPr>
              <w:t>LIABILITIES AND STOCKHOLDERS' EQUITY</w:t>
            </w:r>
          </w:p>
        </w:tc>
        <w:tc>
          <w:tcPr>
            <w:tcW w:w="163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b/>
                <w:color w:val="000000"/>
                <w:sz w:val="20"/>
              </w:rPr>
              <w:t> </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63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b/>
                <w:color w:val="000000"/>
                <w:sz w:val="20"/>
              </w:rPr>
              <w:t> </w:t>
            </w:r>
          </w:p>
        </w:tc>
      </w:tr>
      <w:tr w:rsidR="00DE25E4">
        <w:trPr>
          <w:cantSplit/>
          <w:trHeight w:hRule="exact" w:val="285"/>
          <w:jc w:val="center"/>
        </w:trPr>
        <w:tc>
          <w:tcPr>
            <w:tcW w:w="745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b/>
                <w:color w:val="000000"/>
                <w:sz w:val="20"/>
              </w:rPr>
              <w:t>Current liabilities</w:t>
            </w:r>
          </w:p>
        </w:tc>
        <w:tc>
          <w:tcPr>
            <w:tcW w:w="163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spacing w:before="75" w:after="30"/>
              <w:jc w:val="right"/>
            </w:pPr>
            <w:r>
              <w:rPr>
                <w:b/>
                <w:color w:val="000000"/>
                <w:sz w:val="20"/>
              </w:rPr>
              <w:t>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63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spacing w:before="75" w:after="30"/>
              <w:jc w:val="right"/>
            </w:pPr>
            <w:r>
              <w:rPr>
                <w:color w:val="000000"/>
                <w:sz w:val="20"/>
              </w:rPr>
              <w:t> </w:t>
            </w:r>
          </w:p>
        </w:tc>
      </w:tr>
      <w:tr w:rsidR="00DE25E4">
        <w:trPr>
          <w:cantSplit/>
          <w:trHeight w:hRule="exact" w:val="285"/>
          <w:jc w:val="center"/>
        </w:trPr>
        <w:tc>
          <w:tcPr>
            <w:tcW w:w="745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ind w:left="120"/>
            </w:pPr>
            <w:r>
              <w:rPr>
                <w:color w:val="000000"/>
                <w:sz w:val="20"/>
              </w:rPr>
              <w:t>Current portion of long-term debt</w:t>
            </w:r>
          </w:p>
        </w:tc>
        <w:tc>
          <w:tcPr>
            <w:tcW w:w="163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1152"/>
                <w:tab w:val="left" w:pos="1567"/>
              </w:tabs>
              <w:spacing w:before="75" w:after="30"/>
              <w:jc w:val="right"/>
            </w:pPr>
            <w:r>
              <w:rPr>
                <w:b/>
                <w:color w:val="000000"/>
                <w:sz w:val="20"/>
              </w:rPr>
              <w:t>$</w:t>
            </w:r>
            <w:r>
              <w:rPr>
                <w:b/>
                <w:color w:val="000000"/>
                <w:sz w:val="20"/>
              </w:rPr>
              <w:tab/>
              <w:t>75.9</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63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1152"/>
                <w:tab w:val="left" w:pos="1567"/>
              </w:tabs>
              <w:spacing w:before="75" w:after="30"/>
              <w:jc w:val="right"/>
            </w:pPr>
            <w:r>
              <w:rPr>
                <w:color w:val="000000"/>
                <w:sz w:val="20"/>
              </w:rPr>
              <w:t>$</w:t>
            </w:r>
            <w:r>
              <w:rPr>
                <w:color w:val="000000"/>
                <w:sz w:val="20"/>
              </w:rPr>
              <w:tab/>
              <w:t>18.8</w:t>
            </w:r>
            <w:r>
              <w:rPr>
                <w:color w:val="000000"/>
                <w:sz w:val="20"/>
              </w:rPr>
              <w:tab/>
            </w:r>
          </w:p>
        </w:tc>
      </w:tr>
      <w:tr w:rsidR="00DE25E4">
        <w:trPr>
          <w:cantSplit/>
          <w:trHeight w:hRule="exact" w:val="285"/>
          <w:jc w:val="center"/>
        </w:trPr>
        <w:tc>
          <w:tcPr>
            <w:tcW w:w="745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ind w:left="120"/>
            </w:pPr>
            <w:r>
              <w:rPr>
                <w:color w:val="000000"/>
                <w:sz w:val="20"/>
              </w:rPr>
              <w:t>Accounts payable</w:t>
            </w:r>
          </w:p>
        </w:tc>
        <w:tc>
          <w:tcPr>
            <w:tcW w:w="163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1052"/>
                <w:tab w:val="left" w:pos="1567"/>
              </w:tabs>
              <w:spacing w:before="75" w:after="30"/>
              <w:jc w:val="right"/>
            </w:pPr>
            <w:r>
              <w:rPr>
                <w:b/>
                <w:color w:val="000000"/>
                <w:sz w:val="20"/>
              </w:rPr>
              <w:tab/>
              <w:t>734.0</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63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1052"/>
                <w:tab w:val="left" w:pos="1567"/>
              </w:tabs>
              <w:spacing w:before="75" w:after="30"/>
              <w:jc w:val="right"/>
            </w:pPr>
            <w:r>
              <w:rPr>
                <w:color w:val="000000"/>
                <w:sz w:val="20"/>
              </w:rPr>
              <w:tab/>
              <w:t>612.8</w:t>
            </w:r>
            <w:r>
              <w:rPr>
                <w:color w:val="000000"/>
                <w:sz w:val="20"/>
              </w:rPr>
              <w:tab/>
            </w:r>
          </w:p>
        </w:tc>
      </w:tr>
      <w:tr w:rsidR="00DE25E4">
        <w:trPr>
          <w:cantSplit/>
          <w:trHeight w:hRule="exact" w:val="285"/>
          <w:jc w:val="center"/>
        </w:trPr>
        <w:tc>
          <w:tcPr>
            <w:tcW w:w="745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ind w:left="120"/>
            </w:pPr>
            <w:r>
              <w:rPr>
                <w:color w:val="000000"/>
                <w:sz w:val="20"/>
              </w:rPr>
              <w:t>Accrued compensation and benefits</w:t>
            </w:r>
          </w:p>
        </w:tc>
        <w:tc>
          <w:tcPr>
            <w:tcW w:w="163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1052"/>
                <w:tab w:val="left" w:pos="1567"/>
              </w:tabs>
              <w:spacing w:before="75" w:after="30"/>
              <w:jc w:val="right"/>
            </w:pPr>
            <w:r>
              <w:rPr>
                <w:b/>
                <w:color w:val="000000"/>
                <w:sz w:val="20"/>
              </w:rPr>
              <w:tab/>
              <w:t>186.6</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63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1052"/>
                <w:tab w:val="left" w:pos="1567"/>
              </w:tabs>
              <w:spacing w:before="75" w:after="30"/>
              <w:jc w:val="right"/>
            </w:pPr>
            <w:r>
              <w:rPr>
                <w:color w:val="000000"/>
                <w:sz w:val="20"/>
              </w:rPr>
              <w:tab/>
              <w:t>195.2</w:t>
            </w:r>
            <w:r>
              <w:rPr>
                <w:color w:val="000000"/>
                <w:sz w:val="20"/>
              </w:rPr>
              <w:tab/>
            </w:r>
          </w:p>
        </w:tc>
      </w:tr>
      <w:tr w:rsidR="00DE25E4">
        <w:trPr>
          <w:cantSplit/>
          <w:trHeight w:hRule="exact" w:val="285"/>
          <w:jc w:val="center"/>
        </w:trPr>
        <w:tc>
          <w:tcPr>
            <w:tcW w:w="745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ind w:left="120"/>
            </w:pPr>
            <w:r>
              <w:rPr>
                <w:color w:val="000000"/>
                <w:sz w:val="20"/>
              </w:rPr>
              <w:t>Deferred revenue</w:t>
            </w:r>
          </w:p>
        </w:tc>
        <w:tc>
          <w:tcPr>
            <w:tcW w:w="163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1152"/>
                <w:tab w:val="left" w:pos="1567"/>
              </w:tabs>
              <w:spacing w:before="75" w:after="30"/>
              <w:jc w:val="right"/>
            </w:pPr>
            <w:r>
              <w:rPr>
                <w:b/>
                <w:color w:val="000000"/>
                <w:sz w:val="20"/>
              </w:rPr>
              <w:tab/>
              <w:t>28.1</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63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1152"/>
                <w:tab w:val="left" w:pos="1567"/>
              </w:tabs>
              <w:spacing w:before="75" w:after="30"/>
              <w:jc w:val="right"/>
            </w:pPr>
            <w:r>
              <w:rPr>
                <w:color w:val="000000"/>
                <w:sz w:val="20"/>
              </w:rPr>
              <w:tab/>
              <w:t>28.1</w:t>
            </w:r>
            <w:r>
              <w:rPr>
                <w:color w:val="000000"/>
                <w:sz w:val="20"/>
              </w:rPr>
              <w:tab/>
            </w:r>
          </w:p>
        </w:tc>
      </w:tr>
      <w:tr w:rsidR="00DE25E4">
        <w:trPr>
          <w:cantSplit/>
          <w:trHeight w:hRule="exact" w:val="285"/>
          <w:jc w:val="center"/>
        </w:trPr>
        <w:tc>
          <w:tcPr>
            <w:tcW w:w="745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ind w:left="120"/>
            </w:pPr>
            <w:r>
              <w:rPr>
                <w:color w:val="000000"/>
                <w:sz w:val="20"/>
              </w:rPr>
              <w:t>Current portion of operating lease liabilities</w:t>
            </w:r>
          </w:p>
        </w:tc>
        <w:tc>
          <w:tcPr>
            <w:tcW w:w="163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1152"/>
                <w:tab w:val="left" w:pos="1567"/>
              </w:tabs>
              <w:spacing w:before="75" w:after="30"/>
              <w:jc w:val="right"/>
            </w:pPr>
            <w:r>
              <w:rPr>
                <w:b/>
                <w:color w:val="000000"/>
                <w:sz w:val="20"/>
              </w:rPr>
              <w:tab/>
              <w:t>21.1</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63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1152"/>
                <w:tab w:val="left" w:pos="1567"/>
              </w:tabs>
              <w:spacing w:before="75" w:after="30"/>
              <w:jc w:val="right"/>
            </w:pPr>
            <w:r>
              <w:rPr>
                <w:color w:val="000000"/>
                <w:sz w:val="20"/>
              </w:rPr>
              <w:tab/>
            </w:r>
            <w:r>
              <w:rPr>
                <w:color w:val="000000"/>
                <w:sz w:val="20"/>
              </w:rPr>
              <w:t>24.6</w:t>
            </w:r>
            <w:r>
              <w:rPr>
                <w:color w:val="000000"/>
                <w:sz w:val="20"/>
              </w:rPr>
              <w:tab/>
            </w:r>
          </w:p>
        </w:tc>
      </w:tr>
      <w:tr w:rsidR="00DE25E4">
        <w:trPr>
          <w:cantSplit/>
          <w:trHeight w:hRule="exact" w:val="285"/>
          <w:jc w:val="center"/>
        </w:trPr>
        <w:tc>
          <w:tcPr>
            <w:tcW w:w="745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ind w:left="120"/>
            </w:pPr>
            <w:r>
              <w:rPr>
                <w:color w:val="000000"/>
                <w:sz w:val="20"/>
              </w:rPr>
              <w:t>Accrued expenses and other</w:t>
            </w:r>
          </w:p>
        </w:tc>
        <w:tc>
          <w:tcPr>
            <w:tcW w:w="163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1052"/>
                <w:tab w:val="left" w:pos="1567"/>
              </w:tabs>
              <w:spacing w:before="75" w:after="30"/>
              <w:jc w:val="right"/>
            </w:pPr>
            <w:r>
              <w:rPr>
                <w:b/>
                <w:color w:val="000000"/>
                <w:sz w:val="20"/>
              </w:rPr>
              <w:tab/>
              <w:t>153.6</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63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1052"/>
                <w:tab w:val="left" w:pos="1567"/>
              </w:tabs>
              <w:spacing w:before="75" w:after="30"/>
              <w:jc w:val="right"/>
            </w:pPr>
            <w:r>
              <w:rPr>
                <w:color w:val="000000"/>
                <w:sz w:val="20"/>
              </w:rPr>
              <w:tab/>
              <w:t>160.4</w:t>
            </w:r>
            <w:r>
              <w:rPr>
                <w:color w:val="000000"/>
                <w:sz w:val="20"/>
              </w:rPr>
              <w:tab/>
            </w:r>
          </w:p>
        </w:tc>
      </w:tr>
      <w:tr w:rsidR="00DE25E4">
        <w:trPr>
          <w:cantSplit/>
          <w:trHeight w:hRule="exact" w:val="285"/>
          <w:jc w:val="center"/>
        </w:trPr>
        <w:tc>
          <w:tcPr>
            <w:tcW w:w="745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55" w:after="30"/>
            </w:pPr>
            <w:r>
              <w:rPr>
                <w:b/>
                <w:color w:val="000000"/>
                <w:sz w:val="20"/>
              </w:rPr>
              <w:t>Total current liabilities</w:t>
            </w:r>
          </w:p>
        </w:tc>
        <w:tc>
          <w:tcPr>
            <w:tcW w:w="163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902"/>
                <w:tab w:val="left" w:pos="1567"/>
              </w:tabs>
              <w:spacing w:before="55" w:after="30"/>
              <w:jc w:val="right"/>
            </w:pPr>
            <w:r>
              <w:rPr>
                <w:b/>
                <w:color w:val="000000"/>
                <w:sz w:val="20"/>
              </w:rPr>
              <w:tab/>
              <w:t>1,199.3</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63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902"/>
                <w:tab w:val="left" w:pos="1567"/>
              </w:tabs>
              <w:spacing w:before="55" w:after="30"/>
              <w:jc w:val="right"/>
            </w:pPr>
            <w:r>
              <w:rPr>
                <w:color w:val="000000"/>
                <w:sz w:val="20"/>
              </w:rPr>
              <w:tab/>
              <w:t>1,039.9</w:t>
            </w:r>
            <w:r>
              <w:rPr>
                <w:color w:val="000000"/>
                <w:sz w:val="20"/>
              </w:rPr>
              <w:tab/>
            </w:r>
          </w:p>
        </w:tc>
      </w:tr>
      <w:tr w:rsidR="00DE25E4">
        <w:trPr>
          <w:cantSplit/>
          <w:trHeight w:hRule="exact" w:val="285"/>
          <w:jc w:val="center"/>
        </w:trPr>
        <w:tc>
          <w:tcPr>
            <w:tcW w:w="745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 </w:t>
            </w:r>
          </w:p>
        </w:tc>
        <w:tc>
          <w:tcPr>
            <w:tcW w:w="163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63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r>
      <w:tr w:rsidR="00DE25E4">
        <w:trPr>
          <w:cantSplit/>
          <w:trHeight w:hRule="exact" w:val="285"/>
          <w:jc w:val="center"/>
        </w:trPr>
        <w:tc>
          <w:tcPr>
            <w:tcW w:w="745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Long-term debt, net</w:t>
            </w:r>
          </w:p>
        </w:tc>
        <w:tc>
          <w:tcPr>
            <w:tcW w:w="163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902"/>
                <w:tab w:val="left" w:pos="1567"/>
              </w:tabs>
              <w:spacing w:before="75" w:after="30"/>
              <w:jc w:val="right"/>
            </w:pPr>
            <w:r>
              <w:rPr>
                <w:b/>
                <w:color w:val="000000"/>
                <w:sz w:val="20"/>
              </w:rPr>
              <w:tab/>
              <w:t>2,845.1</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63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902"/>
                <w:tab w:val="left" w:pos="1567"/>
              </w:tabs>
              <w:spacing w:before="75" w:after="30"/>
              <w:jc w:val="right"/>
            </w:pPr>
            <w:r>
              <w:rPr>
                <w:color w:val="000000"/>
                <w:sz w:val="20"/>
              </w:rPr>
              <w:tab/>
              <w:t>3,085.7</w:t>
            </w:r>
            <w:r>
              <w:rPr>
                <w:color w:val="000000"/>
                <w:sz w:val="20"/>
              </w:rPr>
              <w:tab/>
            </w:r>
          </w:p>
        </w:tc>
      </w:tr>
      <w:tr w:rsidR="00DE25E4">
        <w:trPr>
          <w:cantSplit/>
          <w:trHeight w:hRule="exact" w:val="285"/>
          <w:jc w:val="center"/>
        </w:trPr>
        <w:tc>
          <w:tcPr>
            <w:tcW w:w="745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Deferred revenue</w:t>
            </w:r>
          </w:p>
        </w:tc>
        <w:tc>
          <w:tcPr>
            <w:tcW w:w="163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1152"/>
                <w:tab w:val="left" w:pos="1567"/>
              </w:tabs>
              <w:spacing w:before="75" w:after="30"/>
              <w:jc w:val="right"/>
            </w:pPr>
            <w:r>
              <w:rPr>
                <w:b/>
                <w:color w:val="000000"/>
                <w:sz w:val="20"/>
              </w:rPr>
              <w:tab/>
              <w:t>73.4</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63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1152"/>
                <w:tab w:val="left" w:pos="1567"/>
              </w:tabs>
              <w:spacing w:before="75" w:after="30"/>
              <w:jc w:val="right"/>
            </w:pPr>
            <w:r>
              <w:rPr>
                <w:color w:val="000000"/>
                <w:sz w:val="20"/>
              </w:rPr>
              <w:tab/>
              <w:t>94.8</w:t>
            </w:r>
            <w:r>
              <w:rPr>
                <w:color w:val="000000"/>
                <w:sz w:val="20"/>
              </w:rPr>
              <w:tab/>
            </w:r>
          </w:p>
        </w:tc>
      </w:tr>
      <w:tr w:rsidR="00DE25E4">
        <w:trPr>
          <w:cantSplit/>
          <w:trHeight w:hRule="exact" w:val="285"/>
          <w:jc w:val="center"/>
        </w:trPr>
        <w:tc>
          <w:tcPr>
            <w:tcW w:w="745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Deferred income taxes</w:t>
            </w:r>
          </w:p>
        </w:tc>
        <w:tc>
          <w:tcPr>
            <w:tcW w:w="163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1152"/>
                <w:tab w:val="left" w:pos="1567"/>
              </w:tabs>
              <w:spacing w:before="75" w:after="30"/>
              <w:jc w:val="right"/>
            </w:pPr>
            <w:r>
              <w:rPr>
                <w:b/>
                <w:color w:val="000000"/>
                <w:sz w:val="20"/>
              </w:rPr>
              <w:tab/>
              <w:t>10.7</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63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1152"/>
                <w:tab w:val="left" w:pos="1567"/>
              </w:tabs>
              <w:spacing w:before="75" w:after="30"/>
              <w:jc w:val="right"/>
            </w:pPr>
            <w:r>
              <w:rPr>
                <w:color w:val="000000"/>
                <w:sz w:val="20"/>
              </w:rPr>
              <w:tab/>
              <w:t>13.5</w:t>
            </w:r>
            <w:r>
              <w:rPr>
                <w:color w:val="000000"/>
                <w:sz w:val="20"/>
              </w:rPr>
              <w:tab/>
            </w:r>
          </w:p>
        </w:tc>
      </w:tr>
      <w:tr w:rsidR="00DE25E4">
        <w:trPr>
          <w:cantSplit/>
          <w:trHeight w:hRule="exact" w:val="285"/>
          <w:jc w:val="center"/>
        </w:trPr>
        <w:tc>
          <w:tcPr>
            <w:tcW w:w="745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 xml:space="preserve">Long-term portion of </w:t>
            </w:r>
            <w:r>
              <w:rPr>
                <w:color w:val="000000"/>
                <w:sz w:val="20"/>
              </w:rPr>
              <w:t>operating lease liabilities</w:t>
            </w:r>
          </w:p>
        </w:tc>
        <w:tc>
          <w:tcPr>
            <w:tcW w:w="163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1152"/>
                <w:tab w:val="left" w:pos="1567"/>
              </w:tabs>
              <w:spacing w:before="75" w:after="30"/>
              <w:jc w:val="right"/>
            </w:pPr>
            <w:r>
              <w:rPr>
                <w:b/>
                <w:color w:val="000000"/>
                <w:sz w:val="20"/>
              </w:rPr>
              <w:tab/>
              <w:t>87.2</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63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1152"/>
                <w:tab w:val="left" w:pos="1567"/>
              </w:tabs>
              <w:spacing w:before="75" w:after="30"/>
              <w:jc w:val="right"/>
            </w:pPr>
            <w:r>
              <w:rPr>
                <w:color w:val="000000"/>
                <w:sz w:val="20"/>
              </w:rPr>
              <w:tab/>
              <w:t>99.9</w:t>
            </w:r>
            <w:r>
              <w:rPr>
                <w:color w:val="000000"/>
                <w:sz w:val="20"/>
              </w:rPr>
              <w:tab/>
            </w:r>
          </w:p>
        </w:tc>
      </w:tr>
      <w:tr w:rsidR="00DE25E4">
        <w:trPr>
          <w:cantSplit/>
          <w:trHeight w:hRule="exact" w:val="285"/>
          <w:jc w:val="center"/>
        </w:trPr>
        <w:tc>
          <w:tcPr>
            <w:tcW w:w="745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Postretirement benefits and other long-term liabilities</w:t>
            </w:r>
          </w:p>
        </w:tc>
        <w:tc>
          <w:tcPr>
            <w:tcW w:w="163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DE25E4" w:rsidRDefault="00AD30C9">
            <w:pPr>
              <w:keepNext/>
              <w:tabs>
                <w:tab w:val="left" w:pos="1052"/>
                <w:tab w:val="left" w:pos="1567"/>
              </w:tabs>
              <w:spacing w:before="75" w:after="30"/>
              <w:jc w:val="right"/>
            </w:pPr>
            <w:r>
              <w:rPr>
                <w:b/>
                <w:color w:val="000000"/>
                <w:sz w:val="20"/>
              </w:rPr>
              <w:tab/>
              <w:t>626.4</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63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DE25E4" w:rsidRDefault="00AD30C9">
            <w:pPr>
              <w:keepNext/>
              <w:tabs>
                <w:tab w:val="left" w:pos="1052"/>
                <w:tab w:val="left" w:pos="1567"/>
              </w:tabs>
              <w:spacing w:before="75" w:after="30"/>
              <w:jc w:val="right"/>
            </w:pPr>
            <w:r>
              <w:rPr>
                <w:color w:val="000000"/>
                <w:sz w:val="20"/>
              </w:rPr>
              <w:tab/>
              <w:t>844.1</w:t>
            </w:r>
            <w:r>
              <w:rPr>
                <w:color w:val="000000"/>
                <w:sz w:val="20"/>
              </w:rPr>
              <w:tab/>
            </w:r>
          </w:p>
        </w:tc>
      </w:tr>
      <w:tr w:rsidR="00DE25E4">
        <w:trPr>
          <w:cantSplit/>
          <w:trHeight w:hRule="exact" w:val="285"/>
          <w:jc w:val="center"/>
        </w:trPr>
        <w:tc>
          <w:tcPr>
            <w:tcW w:w="745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55" w:after="30"/>
            </w:pPr>
            <w:r>
              <w:rPr>
                <w:b/>
                <w:color w:val="000000"/>
                <w:sz w:val="20"/>
              </w:rPr>
              <w:t>Total liabilities</w:t>
            </w:r>
          </w:p>
        </w:tc>
        <w:tc>
          <w:tcPr>
            <w:tcW w:w="163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902"/>
                <w:tab w:val="left" w:pos="1567"/>
              </w:tabs>
              <w:spacing w:before="55" w:after="30"/>
              <w:jc w:val="right"/>
            </w:pPr>
            <w:r>
              <w:rPr>
                <w:b/>
                <w:color w:val="000000"/>
                <w:sz w:val="20"/>
              </w:rPr>
              <w:tab/>
              <w:t>4,842.1</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63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902"/>
                <w:tab w:val="left" w:pos="1567"/>
              </w:tabs>
              <w:spacing w:before="55" w:after="30"/>
              <w:jc w:val="right"/>
            </w:pPr>
            <w:r>
              <w:rPr>
                <w:color w:val="000000"/>
                <w:sz w:val="20"/>
              </w:rPr>
              <w:tab/>
              <w:t>5,177.9</w:t>
            </w:r>
            <w:r>
              <w:rPr>
                <w:color w:val="000000"/>
                <w:sz w:val="20"/>
              </w:rPr>
              <w:tab/>
            </w:r>
          </w:p>
        </w:tc>
      </w:tr>
      <w:tr w:rsidR="00DE25E4">
        <w:trPr>
          <w:cantSplit/>
          <w:trHeight w:hRule="exact" w:val="285"/>
          <w:jc w:val="center"/>
        </w:trPr>
        <w:tc>
          <w:tcPr>
            <w:tcW w:w="745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635" w:type="dxa"/>
            <w:tcBorders>
              <w:top w:val="nil"/>
              <w:left w:val="nil"/>
              <w:bottom w:val="single" w:sz="8" w:space="0" w:color="000000"/>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635" w:type="dxa"/>
            <w:tcBorders>
              <w:top w:val="nil"/>
              <w:left w:val="nil"/>
              <w:bottom w:val="single" w:sz="8" w:space="0" w:color="000000"/>
              <w:right w:val="nil"/>
            </w:tcBorders>
            <w:shd w:val="clear" w:color="auto" w:fill="CCEEFF"/>
            <w:tcMar>
              <w:top w:w="0" w:type="dxa"/>
              <w:left w:w="0" w:type="dxa"/>
              <w:bottom w:w="0" w:type="dxa"/>
              <w:right w:w="0" w:type="dxa"/>
            </w:tcMar>
            <w:vAlign w:val="bottom"/>
          </w:tcPr>
          <w:p w:rsidR="00DE25E4" w:rsidRDefault="00DE25E4">
            <w:pPr>
              <w:keepNext/>
            </w:pPr>
          </w:p>
        </w:tc>
      </w:tr>
      <w:tr w:rsidR="00DE25E4">
        <w:trPr>
          <w:cantSplit/>
          <w:trHeight w:hRule="exact" w:val="300"/>
          <w:jc w:val="center"/>
        </w:trPr>
        <w:tc>
          <w:tcPr>
            <w:tcW w:w="745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55" w:after="30"/>
            </w:pPr>
            <w:r>
              <w:rPr>
                <w:color w:val="000000"/>
                <w:sz w:val="20"/>
              </w:rPr>
              <w:t>Total AAM stockholders' equity</w:t>
            </w:r>
          </w:p>
        </w:tc>
        <w:tc>
          <w:tcPr>
            <w:tcW w:w="163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1052"/>
                <w:tab w:val="left" w:pos="1567"/>
              </w:tabs>
              <w:spacing w:before="55" w:after="30"/>
              <w:jc w:val="right"/>
            </w:pPr>
            <w:r>
              <w:rPr>
                <w:b/>
                <w:color w:val="000000"/>
                <w:sz w:val="20"/>
              </w:rPr>
              <w:tab/>
              <w:t>627.3</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63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1052"/>
                <w:tab w:val="left" w:pos="1567"/>
              </w:tabs>
              <w:spacing w:before="55" w:after="30"/>
              <w:jc w:val="right"/>
            </w:pPr>
            <w:r>
              <w:rPr>
                <w:color w:val="000000"/>
                <w:sz w:val="20"/>
              </w:rPr>
              <w:tab/>
              <w:t>457.8</w:t>
            </w:r>
            <w:r>
              <w:rPr>
                <w:color w:val="000000"/>
                <w:sz w:val="20"/>
              </w:rPr>
              <w:tab/>
            </w:r>
          </w:p>
        </w:tc>
      </w:tr>
      <w:tr w:rsidR="00DE25E4">
        <w:trPr>
          <w:cantSplit/>
          <w:trHeight w:hRule="exact" w:val="285"/>
          <w:jc w:val="center"/>
        </w:trPr>
        <w:tc>
          <w:tcPr>
            <w:tcW w:w="745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ind w:left="120"/>
            </w:pPr>
            <w:r>
              <w:rPr>
                <w:color w:val="000000"/>
                <w:sz w:val="20"/>
              </w:rPr>
              <w:t xml:space="preserve">Noncontrolling interests in </w:t>
            </w:r>
            <w:r>
              <w:rPr>
                <w:color w:val="000000"/>
                <w:sz w:val="20"/>
              </w:rPr>
              <w:t>subsidiaries</w:t>
            </w:r>
          </w:p>
        </w:tc>
        <w:tc>
          <w:tcPr>
            <w:tcW w:w="163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DE25E4" w:rsidRDefault="00AD30C9">
            <w:pPr>
              <w:keepNext/>
              <w:tabs>
                <w:tab w:val="left" w:pos="1302"/>
                <w:tab w:val="left" w:pos="1567"/>
              </w:tabs>
              <w:spacing w:before="75" w:after="30"/>
              <w:jc w:val="right"/>
            </w:pPr>
            <w:r>
              <w:rPr>
                <w:b/>
                <w:color w:val="000000"/>
                <w:sz w:val="20"/>
              </w:rPr>
              <w:tab/>
              <w:t>—</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63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DE25E4" w:rsidRDefault="00AD30C9">
            <w:pPr>
              <w:keepNext/>
              <w:tabs>
                <w:tab w:val="left" w:pos="1302"/>
                <w:tab w:val="left" w:pos="1567"/>
              </w:tabs>
              <w:spacing w:before="75" w:after="30"/>
              <w:jc w:val="right"/>
            </w:pPr>
            <w:r>
              <w:rPr>
                <w:color w:val="000000"/>
                <w:sz w:val="20"/>
              </w:rPr>
              <w:tab/>
              <w:t>—</w:t>
            </w:r>
            <w:r>
              <w:rPr>
                <w:color w:val="000000"/>
                <w:sz w:val="20"/>
              </w:rPr>
              <w:tab/>
            </w:r>
          </w:p>
        </w:tc>
      </w:tr>
      <w:tr w:rsidR="00DE25E4">
        <w:trPr>
          <w:cantSplit/>
          <w:trHeight w:hRule="exact" w:val="285"/>
          <w:jc w:val="center"/>
        </w:trPr>
        <w:tc>
          <w:tcPr>
            <w:tcW w:w="745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55" w:after="30"/>
            </w:pPr>
            <w:r>
              <w:rPr>
                <w:color w:val="000000"/>
                <w:sz w:val="20"/>
              </w:rPr>
              <w:t>Total stockholders' equity</w:t>
            </w:r>
          </w:p>
        </w:tc>
        <w:tc>
          <w:tcPr>
            <w:tcW w:w="163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1052"/>
                <w:tab w:val="left" w:pos="1567"/>
              </w:tabs>
              <w:spacing w:before="55" w:after="30"/>
              <w:jc w:val="right"/>
            </w:pPr>
            <w:r>
              <w:rPr>
                <w:b/>
                <w:color w:val="000000"/>
                <w:sz w:val="20"/>
              </w:rPr>
              <w:tab/>
              <w:t>627.3</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63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1052"/>
                <w:tab w:val="left" w:pos="1567"/>
              </w:tabs>
              <w:spacing w:before="55" w:after="30"/>
              <w:jc w:val="right"/>
            </w:pPr>
            <w:r>
              <w:rPr>
                <w:color w:val="000000"/>
                <w:sz w:val="20"/>
              </w:rPr>
              <w:tab/>
              <w:t>457.8</w:t>
            </w:r>
            <w:r>
              <w:rPr>
                <w:color w:val="000000"/>
                <w:sz w:val="20"/>
              </w:rPr>
              <w:tab/>
            </w:r>
          </w:p>
        </w:tc>
      </w:tr>
      <w:tr w:rsidR="00DE25E4">
        <w:trPr>
          <w:cantSplit/>
          <w:trHeight w:hRule="exact" w:val="285"/>
          <w:jc w:val="center"/>
        </w:trPr>
        <w:tc>
          <w:tcPr>
            <w:tcW w:w="745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spacing w:before="55" w:after="30"/>
            </w:pPr>
            <w:r>
              <w:rPr>
                <w:b/>
                <w:color w:val="000000"/>
                <w:sz w:val="20"/>
              </w:rPr>
              <w:t>Total liabilities and stockholders' equity</w:t>
            </w:r>
          </w:p>
        </w:tc>
        <w:tc>
          <w:tcPr>
            <w:tcW w:w="163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DE25E4" w:rsidRDefault="00AD30C9">
            <w:pPr>
              <w:tabs>
                <w:tab w:val="left" w:pos="902"/>
                <w:tab w:val="left" w:pos="1567"/>
              </w:tabs>
              <w:spacing w:before="55" w:after="30"/>
              <w:jc w:val="right"/>
            </w:pPr>
            <w:r>
              <w:rPr>
                <w:b/>
                <w:color w:val="000000"/>
                <w:sz w:val="20"/>
              </w:rPr>
              <w:t>$</w:t>
            </w:r>
            <w:r>
              <w:rPr>
                <w:b/>
                <w:color w:val="000000"/>
                <w:sz w:val="20"/>
              </w:rPr>
              <w:tab/>
              <w:t>5,469.4</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tc>
        <w:tc>
          <w:tcPr>
            <w:tcW w:w="163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DE25E4" w:rsidRDefault="00AD30C9">
            <w:pPr>
              <w:tabs>
                <w:tab w:val="left" w:pos="902"/>
                <w:tab w:val="left" w:pos="1567"/>
              </w:tabs>
              <w:spacing w:before="55" w:after="30"/>
              <w:jc w:val="right"/>
            </w:pPr>
            <w:r>
              <w:rPr>
                <w:color w:val="000000"/>
                <w:sz w:val="20"/>
              </w:rPr>
              <w:t>$</w:t>
            </w:r>
            <w:r>
              <w:rPr>
                <w:color w:val="000000"/>
                <w:sz w:val="20"/>
              </w:rPr>
              <w:tab/>
              <w:t>5,635.7</w:t>
            </w:r>
            <w:r>
              <w:rPr>
                <w:color w:val="000000"/>
                <w:sz w:val="20"/>
              </w:rPr>
              <w:tab/>
            </w:r>
          </w:p>
        </w:tc>
      </w:tr>
    </w:tbl>
    <w:p w:rsidR="00DE25E4" w:rsidRDefault="00DE25E4">
      <w:pPr>
        <w:spacing w:line="288" w:lineRule="auto"/>
        <w:rPr>
          <w:sz w:val="20"/>
        </w:rPr>
      </w:pPr>
    </w:p>
    <w:p w:rsidR="00DE25E4" w:rsidRDefault="00DE25E4">
      <w:pPr>
        <w:spacing w:line="288" w:lineRule="auto"/>
        <w:rPr>
          <w:sz w:val="20"/>
        </w:rPr>
        <w:sectPr w:rsidR="00DE25E4">
          <w:pgSz w:w="12240" w:h="15840"/>
          <w:pgMar w:top="720" w:right="720" w:bottom="720" w:left="720" w:header="0" w:footer="270" w:gutter="0"/>
          <w:cols w:space="708"/>
        </w:sectPr>
      </w:pPr>
    </w:p>
    <w:p w:rsidR="00DE25E4" w:rsidRDefault="00AD30C9">
      <w:pPr>
        <w:tabs>
          <w:tab w:val="left" w:pos="9080"/>
          <w:tab w:val="left" w:pos="9360"/>
          <w:tab w:val="left" w:pos="10080"/>
          <w:tab w:val="left" w:pos="10800"/>
          <w:tab w:val="left" w:pos="11520"/>
        </w:tabs>
        <w:spacing w:line="288" w:lineRule="auto"/>
        <w:jc w:val="center"/>
        <w:outlineLvl w:val="0"/>
        <w:rPr>
          <w:b/>
          <w:sz w:val="20"/>
        </w:rPr>
      </w:pPr>
      <w:bookmarkStart w:id="4" w:name="Section4"/>
      <w:bookmarkEnd w:id="4"/>
      <w:r>
        <w:rPr>
          <w:b/>
          <w:sz w:val="20"/>
        </w:rPr>
        <w:lastRenderedPageBreak/>
        <w:t>AMERICAN AXLE &amp; MANUFACTURING HOLDINGS, INC.</w:t>
      </w:r>
    </w:p>
    <w:p w:rsidR="00DE25E4" w:rsidRDefault="00AD30C9">
      <w:pPr>
        <w:spacing w:line="288" w:lineRule="auto"/>
        <w:jc w:val="center"/>
        <w:rPr>
          <w:b/>
          <w:sz w:val="20"/>
        </w:rPr>
      </w:pPr>
      <w:r>
        <w:rPr>
          <w:b/>
          <w:sz w:val="20"/>
        </w:rPr>
        <w:t>CONDENSED CONSOLIDATED STATEMENTS OF CASH FLOWS</w:t>
      </w:r>
    </w:p>
    <w:p w:rsidR="00DE25E4" w:rsidRDefault="00AD30C9">
      <w:pPr>
        <w:spacing w:line="288" w:lineRule="auto"/>
        <w:jc w:val="center"/>
        <w:rPr>
          <w:i/>
          <w:sz w:val="20"/>
        </w:rPr>
      </w:pPr>
      <w:r>
        <w:rPr>
          <w:i/>
          <w:sz w:val="20"/>
        </w:rPr>
        <w:t xml:space="preserve">(Unaudited) </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5"/>
        <w:gridCol w:w="75"/>
        <w:gridCol w:w="1185"/>
        <w:gridCol w:w="75"/>
        <w:gridCol w:w="1185"/>
        <w:gridCol w:w="180"/>
        <w:gridCol w:w="1185"/>
        <w:gridCol w:w="75"/>
        <w:gridCol w:w="1185"/>
      </w:tblGrid>
      <w:tr w:rsidR="00DE25E4">
        <w:trPr>
          <w:cantSplit/>
          <w:trHeight w:hRule="exact" w:val="300"/>
          <w:jc w:val="center"/>
        </w:trPr>
        <w:tc>
          <w:tcPr>
            <w:tcW w:w="5655" w:type="dxa"/>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pPr>
            <w:r>
              <w:rPr>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pPr>
            <w:r>
              <w:rPr>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pPr>
            <w:r>
              <w:rPr>
                <w:color w:val="000000"/>
                <w:sz w:val="20"/>
              </w:rPr>
              <w:t> </w:t>
            </w:r>
          </w:p>
        </w:tc>
        <w:tc>
          <w:tcPr>
            <w:tcW w:w="18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300"/>
          <w:jc w:val="center"/>
        </w:trPr>
        <w:tc>
          <w:tcPr>
            <w:tcW w:w="5655" w:type="dxa"/>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pPr>
            <w:r>
              <w:rPr>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2445" w:type="dxa"/>
            <w:gridSpan w:val="3"/>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jc w:val="center"/>
            </w:pPr>
            <w:r>
              <w:rPr>
                <w:b/>
                <w:color w:val="000000"/>
                <w:sz w:val="20"/>
              </w:rPr>
              <w:t xml:space="preserve">Three Months Ended </w:t>
            </w:r>
          </w:p>
        </w:tc>
        <w:tc>
          <w:tcPr>
            <w:tcW w:w="18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2445" w:type="dxa"/>
            <w:gridSpan w:val="3"/>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jc w:val="center"/>
            </w:pPr>
            <w:r>
              <w:rPr>
                <w:b/>
                <w:color w:val="000000"/>
                <w:sz w:val="20"/>
              </w:rPr>
              <w:t>Twelve Months Ended</w:t>
            </w:r>
          </w:p>
        </w:tc>
      </w:tr>
      <w:tr w:rsidR="00DE25E4">
        <w:trPr>
          <w:cantSplit/>
          <w:trHeight w:hRule="exact" w:val="300"/>
          <w:jc w:val="center"/>
        </w:trPr>
        <w:tc>
          <w:tcPr>
            <w:tcW w:w="5655" w:type="dxa"/>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pPr>
            <w:r>
              <w:rPr>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2445" w:type="dxa"/>
            <w:gridSpan w:val="3"/>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jc w:val="center"/>
            </w:pPr>
            <w:r>
              <w:rPr>
                <w:b/>
                <w:color w:val="000000"/>
                <w:sz w:val="20"/>
              </w:rPr>
              <w:t>December 31,</w:t>
            </w:r>
          </w:p>
        </w:tc>
        <w:tc>
          <w:tcPr>
            <w:tcW w:w="18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2445" w:type="dxa"/>
            <w:gridSpan w:val="3"/>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jc w:val="center"/>
            </w:pPr>
            <w:r>
              <w:rPr>
                <w:b/>
                <w:color w:val="000000"/>
                <w:sz w:val="20"/>
              </w:rPr>
              <w:t>December 31,</w:t>
            </w:r>
          </w:p>
        </w:tc>
      </w:tr>
      <w:tr w:rsidR="00DE25E4">
        <w:trPr>
          <w:cantSplit/>
          <w:trHeight w:hRule="exact" w:val="300"/>
          <w:jc w:val="center"/>
        </w:trPr>
        <w:tc>
          <w:tcPr>
            <w:tcW w:w="5655" w:type="dxa"/>
            <w:tcBorders>
              <w:top w:val="nil"/>
              <w:left w:val="nil"/>
              <w:bottom w:val="nil"/>
              <w:right w:val="nil"/>
            </w:tcBorders>
            <w:tcMar>
              <w:top w:w="0" w:type="dxa"/>
              <w:left w:w="53" w:type="dxa"/>
              <w:bottom w:w="0" w:type="dxa"/>
              <w:right w:w="53" w:type="dxa"/>
            </w:tcMar>
            <w:vAlign w:val="bottom"/>
          </w:tcPr>
          <w:p w:rsidR="00DE25E4" w:rsidRDefault="00AD30C9">
            <w:pPr>
              <w:keepNext/>
              <w:spacing w:before="55" w:after="30"/>
            </w:pPr>
            <w:r>
              <w:rPr>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single" w:sz="8" w:space="0" w:color="000000"/>
              <w:right w:val="nil"/>
            </w:tcBorders>
            <w:tcMar>
              <w:top w:w="0" w:type="dxa"/>
              <w:left w:w="53" w:type="dxa"/>
              <w:bottom w:w="0" w:type="dxa"/>
              <w:right w:w="53" w:type="dxa"/>
            </w:tcMar>
            <w:vAlign w:val="bottom"/>
          </w:tcPr>
          <w:p w:rsidR="00DE25E4" w:rsidRDefault="00AD30C9">
            <w:pPr>
              <w:keepNext/>
              <w:spacing w:before="55" w:after="30"/>
              <w:jc w:val="center"/>
            </w:pPr>
            <w:r>
              <w:rPr>
                <w:b/>
                <w:color w:val="000000"/>
                <w:sz w:val="20"/>
              </w:rPr>
              <w:t>2022</w:t>
            </w:r>
          </w:p>
        </w:tc>
        <w:tc>
          <w:tcPr>
            <w:tcW w:w="75" w:type="dxa"/>
            <w:tcBorders>
              <w:top w:val="single" w:sz="8" w:space="0" w:color="000000"/>
              <w:left w:val="nil"/>
              <w:bottom w:val="nil"/>
              <w:right w:val="nil"/>
            </w:tcBorders>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single" w:sz="8" w:space="0" w:color="000000"/>
              <w:right w:val="nil"/>
            </w:tcBorders>
            <w:tcMar>
              <w:top w:w="0" w:type="dxa"/>
              <w:left w:w="53" w:type="dxa"/>
              <w:bottom w:w="0" w:type="dxa"/>
              <w:right w:w="53" w:type="dxa"/>
            </w:tcMar>
            <w:vAlign w:val="bottom"/>
          </w:tcPr>
          <w:p w:rsidR="00DE25E4" w:rsidRDefault="00AD30C9">
            <w:pPr>
              <w:keepNext/>
              <w:spacing w:before="55" w:after="30"/>
              <w:jc w:val="center"/>
            </w:pPr>
            <w:r>
              <w:rPr>
                <w:b/>
                <w:color w:val="000000"/>
                <w:sz w:val="20"/>
              </w:rPr>
              <w:t>2021</w:t>
            </w:r>
          </w:p>
        </w:tc>
        <w:tc>
          <w:tcPr>
            <w:tcW w:w="18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single" w:sz="8" w:space="0" w:color="000000"/>
              <w:right w:val="nil"/>
            </w:tcBorders>
            <w:tcMar>
              <w:top w:w="0" w:type="dxa"/>
              <w:left w:w="53" w:type="dxa"/>
              <w:bottom w:w="0" w:type="dxa"/>
              <w:right w:w="53" w:type="dxa"/>
            </w:tcMar>
            <w:vAlign w:val="bottom"/>
          </w:tcPr>
          <w:p w:rsidR="00DE25E4" w:rsidRDefault="00AD30C9">
            <w:pPr>
              <w:keepNext/>
              <w:spacing w:before="55" w:after="30"/>
              <w:jc w:val="center"/>
            </w:pPr>
            <w:r>
              <w:rPr>
                <w:b/>
                <w:color w:val="000000"/>
                <w:sz w:val="20"/>
              </w:rPr>
              <w:t>2022</w:t>
            </w:r>
          </w:p>
        </w:tc>
        <w:tc>
          <w:tcPr>
            <w:tcW w:w="75" w:type="dxa"/>
            <w:tcBorders>
              <w:top w:val="single" w:sz="8" w:space="0" w:color="000000"/>
              <w:left w:val="nil"/>
              <w:bottom w:val="nil"/>
              <w:right w:val="nil"/>
            </w:tcBorders>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single" w:sz="8" w:space="0" w:color="000000"/>
              <w:right w:val="nil"/>
            </w:tcBorders>
            <w:tcMar>
              <w:top w:w="0" w:type="dxa"/>
              <w:left w:w="53" w:type="dxa"/>
              <w:bottom w:w="0" w:type="dxa"/>
              <w:right w:w="53" w:type="dxa"/>
            </w:tcMar>
            <w:vAlign w:val="bottom"/>
          </w:tcPr>
          <w:p w:rsidR="00DE25E4" w:rsidRDefault="00AD30C9">
            <w:pPr>
              <w:keepNext/>
              <w:spacing w:before="55" w:after="30"/>
              <w:jc w:val="center"/>
            </w:pPr>
            <w:r>
              <w:rPr>
                <w:b/>
                <w:color w:val="000000"/>
                <w:sz w:val="20"/>
              </w:rPr>
              <w:t>2021</w:t>
            </w:r>
          </w:p>
        </w:tc>
      </w:tr>
      <w:tr w:rsidR="00DE25E4">
        <w:trPr>
          <w:cantSplit/>
          <w:trHeight w:hRule="exact" w:val="300"/>
          <w:jc w:val="center"/>
        </w:trPr>
        <w:tc>
          <w:tcPr>
            <w:tcW w:w="5655" w:type="dxa"/>
            <w:tcBorders>
              <w:top w:val="nil"/>
              <w:left w:val="nil"/>
              <w:bottom w:val="nil"/>
              <w:right w:val="nil"/>
            </w:tcBorders>
            <w:tcMar>
              <w:top w:w="0" w:type="dxa"/>
              <w:left w:w="53" w:type="dxa"/>
              <w:bottom w:w="0" w:type="dxa"/>
              <w:right w:w="53" w:type="dxa"/>
            </w:tcMar>
            <w:vAlign w:val="bottom"/>
          </w:tcPr>
          <w:p w:rsidR="00DE25E4" w:rsidRDefault="00AD30C9">
            <w:pPr>
              <w:keepNext/>
              <w:spacing w:before="55" w:after="30"/>
            </w:pPr>
            <w:r>
              <w:rPr>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5070" w:type="dxa"/>
            <w:gridSpan w:val="7"/>
            <w:tcBorders>
              <w:top w:val="nil"/>
              <w:left w:val="nil"/>
              <w:bottom w:val="nil"/>
              <w:right w:val="nil"/>
            </w:tcBorders>
            <w:tcMar>
              <w:top w:w="0" w:type="dxa"/>
              <w:left w:w="53" w:type="dxa"/>
              <w:bottom w:w="0" w:type="dxa"/>
              <w:right w:w="53" w:type="dxa"/>
            </w:tcMar>
            <w:vAlign w:val="bottom"/>
          </w:tcPr>
          <w:p w:rsidR="00DE25E4" w:rsidRDefault="00AD30C9">
            <w:pPr>
              <w:keepNext/>
              <w:spacing w:before="55" w:after="30"/>
              <w:jc w:val="center"/>
            </w:pPr>
            <w:r>
              <w:rPr>
                <w:i/>
                <w:color w:val="000000"/>
                <w:sz w:val="20"/>
              </w:rPr>
              <w:t>(in millions)</w:t>
            </w:r>
          </w:p>
        </w:tc>
      </w:tr>
      <w:tr w:rsidR="00DE25E4">
        <w:trPr>
          <w:cantSplit/>
          <w:trHeight w:hRule="exact" w:val="285"/>
          <w:jc w:val="center"/>
        </w:trPr>
        <w:tc>
          <w:tcPr>
            <w:tcW w:w="5655" w:type="dxa"/>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pPr>
            <w:r>
              <w:rPr>
                <w:b/>
                <w:color w:val="000000"/>
                <w:sz w:val="20"/>
              </w:rPr>
              <w:t>Operating activities</w:t>
            </w:r>
          </w:p>
        </w:tc>
        <w:tc>
          <w:tcPr>
            <w:tcW w:w="7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8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tcMar>
              <w:top w:w="0" w:type="dxa"/>
              <w:left w:w="0" w:type="dxa"/>
              <w:bottom w:w="0" w:type="dxa"/>
              <w:right w:w="0" w:type="dxa"/>
            </w:tcMar>
            <w:vAlign w:val="bottom"/>
          </w:tcPr>
          <w:p w:rsidR="00DE25E4" w:rsidRDefault="00DE25E4">
            <w:pPr>
              <w:keepNext/>
            </w:pPr>
          </w:p>
        </w:tc>
      </w:tr>
      <w:tr w:rsidR="00DE25E4">
        <w:trPr>
          <w:cantSplit/>
          <w:trHeight w:hRule="exact" w:val="300"/>
          <w:jc w:val="center"/>
        </w:trPr>
        <w:tc>
          <w:tcPr>
            <w:tcW w:w="565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Net income (loss)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02"/>
                <w:tab w:val="left" w:pos="1117"/>
              </w:tabs>
              <w:spacing w:before="75" w:after="30"/>
              <w:jc w:val="right"/>
            </w:pPr>
            <w:r>
              <w:rPr>
                <w:b/>
                <w:color w:val="000000"/>
                <w:sz w:val="20"/>
              </w:rPr>
              <w:t>$</w:t>
            </w:r>
            <w:r>
              <w:rPr>
                <w:b/>
                <w:color w:val="000000"/>
                <w:sz w:val="20"/>
              </w:rPr>
              <w:tab/>
              <w:t>13.9</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16"/>
              </w:tabs>
              <w:spacing w:before="75" w:after="30"/>
              <w:jc w:val="right"/>
            </w:pPr>
            <w:r>
              <w:rPr>
                <w:color w:val="000000"/>
                <w:sz w:val="20"/>
              </w:rPr>
              <w:t>$</w:t>
            </w:r>
            <w:r>
              <w:rPr>
                <w:color w:val="000000"/>
                <w:sz w:val="20"/>
              </w:rPr>
              <w:tab/>
              <w:t>(46.3)</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02"/>
                <w:tab w:val="left" w:pos="1117"/>
              </w:tabs>
              <w:spacing w:before="75" w:after="30"/>
              <w:jc w:val="right"/>
            </w:pPr>
            <w:r>
              <w:rPr>
                <w:b/>
                <w:color w:val="000000"/>
                <w:sz w:val="20"/>
              </w:rPr>
              <w:t>$</w:t>
            </w:r>
            <w:r>
              <w:rPr>
                <w:b/>
                <w:color w:val="000000"/>
                <w:sz w:val="20"/>
              </w:rPr>
              <w:tab/>
              <w:t>64.3</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802"/>
                <w:tab w:val="left" w:pos="1117"/>
              </w:tabs>
              <w:spacing w:before="75" w:after="30"/>
              <w:jc w:val="right"/>
            </w:pPr>
            <w:r>
              <w:rPr>
                <w:color w:val="000000"/>
                <w:sz w:val="20"/>
              </w:rPr>
              <w:t>$</w:t>
            </w:r>
            <w:r>
              <w:rPr>
                <w:color w:val="000000"/>
                <w:sz w:val="20"/>
              </w:rPr>
              <w:tab/>
              <w:t>5.9</w:t>
            </w:r>
            <w:r>
              <w:rPr>
                <w:color w:val="000000"/>
                <w:sz w:val="20"/>
              </w:rPr>
              <w:tab/>
            </w:r>
          </w:p>
        </w:tc>
      </w:tr>
      <w:tr w:rsidR="00DE25E4">
        <w:trPr>
          <w:cantSplit/>
          <w:trHeight w:hRule="exact" w:val="435"/>
          <w:jc w:val="center"/>
        </w:trPr>
        <w:tc>
          <w:tcPr>
            <w:tcW w:w="565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Adjustments to reconcile net income (loss) to net cash provided by operating activities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r>
      <w:tr w:rsidR="00DE25E4">
        <w:trPr>
          <w:cantSplit/>
          <w:trHeight w:hRule="exact" w:val="300"/>
          <w:jc w:val="center"/>
        </w:trPr>
        <w:tc>
          <w:tcPr>
            <w:tcW w:w="565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ind w:left="120"/>
            </w:pPr>
            <w:r>
              <w:rPr>
                <w:color w:val="000000"/>
                <w:sz w:val="20"/>
              </w:rPr>
              <w:t>Depreciation and amortization</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02"/>
                <w:tab w:val="left" w:pos="1117"/>
              </w:tabs>
              <w:spacing w:before="75" w:after="30"/>
              <w:jc w:val="right"/>
            </w:pPr>
            <w:r>
              <w:rPr>
                <w:b/>
                <w:color w:val="000000"/>
                <w:sz w:val="20"/>
              </w:rPr>
              <w:tab/>
              <w:t>125.0</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02"/>
                <w:tab w:val="left" w:pos="1117"/>
              </w:tabs>
              <w:spacing w:before="75" w:after="30"/>
              <w:jc w:val="right"/>
            </w:pPr>
            <w:r>
              <w:rPr>
                <w:color w:val="000000"/>
                <w:sz w:val="20"/>
              </w:rPr>
              <w:tab/>
              <w:t>123.1</w:t>
            </w:r>
            <w:r>
              <w:rPr>
                <w:color w:val="000000"/>
                <w:sz w:val="20"/>
              </w:rPr>
              <w:tab/>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02"/>
                <w:tab w:val="left" w:pos="1117"/>
              </w:tabs>
              <w:spacing w:before="75" w:after="30"/>
              <w:jc w:val="right"/>
            </w:pPr>
            <w:r>
              <w:rPr>
                <w:b/>
                <w:color w:val="000000"/>
                <w:sz w:val="20"/>
              </w:rPr>
              <w:tab/>
              <w:t>492.1</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02"/>
                <w:tab w:val="left" w:pos="1117"/>
              </w:tabs>
              <w:spacing w:before="75" w:after="30"/>
              <w:jc w:val="right"/>
            </w:pPr>
            <w:r>
              <w:rPr>
                <w:color w:val="000000"/>
                <w:sz w:val="20"/>
              </w:rPr>
              <w:tab/>
              <w:t>544.3</w:t>
            </w:r>
            <w:r>
              <w:rPr>
                <w:color w:val="000000"/>
                <w:sz w:val="20"/>
              </w:rPr>
              <w:tab/>
            </w:r>
          </w:p>
        </w:tc>
      </w:tr>
      <w:tr w:rsidR="00DE25E4">
        <w:trPr>
          <w:cantSplit/>
          <w:trHeight w:hRule="exact" w:val="300"/>
          <w:jc w:val="center"/>
        </w:trPr>
        <w:tc>
          <w:tcPr>
            <w:tcW w:w="565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ind w:left="120"/>
            </w:pPr>
            <w:r>
              <w:rPr>
                <w:color w:val="000000"/>
                <w:sz w:val="20"/>
              </w:rPr>
              <w:t>Other</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802"/>
                <w:tab w:val="left" w:pos="1117"/>
              </w:tabs>
              <w:spacing w:before="75" w:after="30"/>
              <w:jc w:val="right"/>
            </w:pPr>
            <w:r>
              <w:rPr>
                <w:b/>
                <w:color w:val="000000"/>
                <w:sz w:val="20"/>
              </w:rPr>
              <w:tab/>
              <w:t>9.6</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702"/>
                <w:tab w:val="left" w:pos="1117"/>
              </w:tabs>
              <w:spacing w:before="75" w:after="30"/>
              <w:jc w:val="right"/>
            </w:pPr>
            <w:r>
              <w:rPr>
                <w:color w:val="000000"/>
                <w:sz w:val="20"/>
              </w:rPr>
              <w:tab/>
              <w:t>25.6</w:t>
            </w:r>
            <w:r>
              <w:rPr>
                <w:color w:val="000000"/>
                <w:sz w:val="20"/>
              </w:rPr>
              <w:tab/>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516"/>
              </w:tabs>
              <w:spacing w:before="75" w:after="30"/>
              <w:jc w:val="right"/>
            </w:pPr>
            <w:r>
              <w:rPr>
                <w:b/>
                <w:color w:val="000000"/>
                <w:sz w:val="20"/>
              </w:rPr>
              <w:tab/>
              <w:t>(107.5)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616"/>
              </w:tabs>
              <w:spacing w:before="75" w:after="30"/>
              <w:jc w:val="right"/>
            </w:pPr>
            <w:r>
              <w:rPr>
                <w:color w:val="000000"/>
                <w:sz w:val="20"/>
              </w:rPr>
              <w:tab/>
              <w:t>(11.8)</w:t>
            </w:r>
          </w:p>
        </w:tc>
      </w:tr>
      <w:tr w:rsidR="00DE25E4">
        <w:trPr>
          <w:cantSplit/>
          <w:trHeight w:hRule="exact" w:val="300"/>
          <w:jc w:val="center"/>
        </w:trPr>
        <w:tc>
          <w:tcPr>
            <w:tcW w:w="565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55" w:after="30"/>
            </w:pPr>
            <w:r>
              <w:rPr>
                <w:b/>
                <w:color w:val="000000"/>
                <w:sz w:val="20"/>
              </w:rPr>
              <w:t>Net cash provided by operating activities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DE25E4" w:rsidRDefault="00AD30C9">
            <w:pPr>
              <w:keepNext/>
              <w:tabs>
                <w:tab w:val="left" w:pos="602"/>
                <w:tab w:val="left" w:pos="1117"/>
              </w:tabs>
              <w:spacing w:before="55" w:after="30"/>
              <w:jc w:val="right"/>
            </w:pPr>
            <w:r>
              <w:rPr>
                <w:b/>
                <w:color w:val="000000"/>
                <w:sz w:val="20"/>
              </w:rPr>
              <w:tab/>
              <w:t>148.5</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DE25E4" w:rsidRDefault="00AD30C9">
            <w:pPr>
              <w:keepNext/>
              <w:tabs>
                <w:tab w:val="left" w:pos="602"/>
                <w:tab w:val="left" w:pos="1117"/>
              </w:tabs>
              <w:spacing w:before="55" w:after="30"/>
              <w:jc w:val="right"/>
            </w:pPr>
            <w:r>
              <w:rPr>
                <w:color w:val="000000"/>
                <w:sz w:val="20"/>
              </w:rPr>
              <w:tab/>
              <w:t>102.4</w:t>
            </w:r>
            <w:r>
              <w:rPr>
                <w:color w:val="000000"/>
                <w:sz w:val="20"/>
              </w:rPr>
              <w:tab/>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DE25E4" w:rsidRDefault="00AD30C9">
            <w:pPr>
              <w:keepNext/>
              <w:tabs>
                <w:tab w:val="left" w:pos="602"/>
                <w:tab w:val="left" w:pos="1117"/>
              </w:tabs>
              <w:spacing w:before="55" w:after="30"/>
              <w:jc w:val="right"/>
            </w:pPr>
            <w:r>
              <w:rPr>
                <w:b/>
                <w:color w:val="000000"/>
                <w:sz w:val="20"/>
              </w:rPr>
              <w:tab/>
              <w:t>448.9</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DE25E4" w:rsidRDefault="00AD30C9">
            <w:pPr>
              <w:keepNext/>
              <w:tabs>
                <w:tab w:val="left" w:pos="602"/>
                <w:tab w:val="left" w:pos="1117"/>
              </w:tabs>
              <w:spacing w:before="55" w:after="30"/>
              <w:jc w:val="right"/>
            </w:pPr>
            <w:r>
              <w:rPr>
                <w:color w:val="000000"/>
                <w:sz w:val="20"/>
              </w:rPr>
              <w:tab/>
              <w:t>538.4</w:t>
            </w:r>
            <w:r>
              <w:rPr>
                <w:color w:val="000000"/>
                <w:sz w:val="20"/>
              </w:rPr>
              <w:tab/>
            </w:r>
          </w:p>
        </w:tc>
      </w:tr>
      <w:tr w:rsidR="00DE25E4">
        <w:trPr>
          <w:cantSplit/>
          <w:trHeight w:hRule="exact" w:val="300"/>
          <w:jc w:val="center"/>
        </w:trPr>
        <w:tc>
          <w:tcPr>
            <w:tcW w:w="565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r>
      <w:tr w:rsidR="00DE25E4">
        <w:trPr>
          <w:cantSplit/>
          <w:trHeight w:hRule="exact" w:val="285"/>
          <w:jc w:val="center"/>
        </w:trPr>
        <w:tc>
          <w:tcPr>
            <w:tcW w:w="565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b/>
                <w:color w:val="000000"/>
                <w:sz w:val="20"/>
              </w:rPr>
              <w:t>Investing activities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r>
      <w:tr w:rsidR="00DE25E4">
        <w:trPr>
          <w:cantSplit/>
          <w:trHeight w:hRule="exact" w:val="300"/>
          <w:jc w:val="center"/>
        </w:trPr>
        <w:tc>
          <w:tcPr>
            <w:tcW w:w="565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Purchases of property, plant and equipment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616"/>
              </w:tabs>
              <w:spacing w:before="75" w:after="30"/>
              <w:jc w:val="right"/>
            </w:pPr>
            <w:r>
              <w:rPr>
                <w:b/>
                <w:color w:val="000000"/>
                <w:sz w:val="20"/>
              </w:rPr>
              <w:tab/>
              <w:t>(53.5)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616"/>
              </w:tabs>
              <w:spacing w:before="75" w:after="30"/>
              <w:jc w:val="right"/>
            </w:pPr>
            <w:r>
              <w:rPr>
                <w:color w:val="000000"/>
                <w:sz w:val="20"/>
              </w:rPr>
              <w:tab/>
              <w:t>(65.4)</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516"/>
              </w:tabs>
              <w:spacing w:before="75" w:after="30"/>
              <w:jc w:val="right"/>
            </w:pPr>
            <w:r>
              <w:rPr>
                <w:b/>
                <w:color w:val="000000"/>
                <w:sz w:val="20"/>
              </w:rPr>
              <w:tab/>
              <w:t>(171.4)</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516"/>
              </w:tabs>
              <w:spacing w:before="75" w:after="30"/>
              <w:jc w:val="right"/>
            </w:pPr>
            <w:r>
              <w:rPr>
                <w:color w:val="000000"/>
                <w:sz w:val="20"/>
              </w:rPr>
              <w:tab/>
              <w:t>(181.2)</w:t>
            </w:r>
          </w:p>
        </w:tc>
      </w:tr>
      <w:tr w:rsidR="00DE25E4">
        <w:trPr>
          <w:cantSplit/>
          <w:trHeight w:hRule="exact" w:val="300"/>
          <w:jc w:val="center"/>
        </w:trPr>
        <w:tc>
          <w:tcPr>
            <w:tcW w:w="565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Proceeds from sale of property, plant and equipment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802"/>
                <w:tab w:val="left" w:pos="1117"/>
              </w:tabs>
              <w:spacing w:before="75" w:after="30"/>
              <w:jc w:val="right"/>
            </w:pPr>
            <w:r>
              <w:rPr>
                <w:b/>
                <w:color w:val="000000"/>
                <w:sz w:val="20"/>
              </w:rPr>
              <w:tab/>
              <w:t>0.4</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802"/>
                <w:tab w:val="left" w:pos="1117"/>
              </w:tabs>
              <w:spacing w:before="75" w:after="30"/>
              <w:jc w:val="right"/>
            </w:pPr>
            <w:r>
              <w:rPr>
                <w:color w:val="000000"/>
                <w:sz w:val="20"/>
              </w:rPr>
              <w:tab/>
              <w:t>0.2</w:t>
            </w:r>
            <w:r>
              <w:rPr>
                <w:color w:val="000000"/>
                <w:sz w:val="20"/>
              </w:rPr>
              <w:tab/>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802"/>
                <w:tab w:val="left" w:pos="1117"/>
              </w:tabs>
              <w:spacing w:before="75" w:after="30"/>
              <w:jc w:val="right"/>
            </w:pPr>
            <w:r>
              <w:rPr>
                <w:b/>
                <w:color w:val="000000"/>
                <w:sz w:val="20"/>
              </w:rPr>
              <w:tab/>
              <w:t>4.7</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802"/>
                <w:tab w:val="left" w:pos="1117"/>
              </w:tabs>
              <w:spacing w:before="75" w:after="30"/>
              <w:jc w:val="right"/>
            </w:pPr>
            <w:r>
              <w:rPr>
                <w:color w:val="000000"/>
                <w:sz w:val="20"/>
              </w:rPr>
              <w:tab/>
              <w:t>2.0</w:t>
            </w:r>
            <w:r>
              <w:rPr>
                <w:color w:val="000000"/>
                <w:sz w:val="20"/>
              </w:rPr>
              <w:tab/>
            </w:r>
          </w:p>
        </w:tc>
      </w:tr>
      <w:tr w:rsidR="00DE25E4">
        <w:trPr>
          <w:cantSplit/>
          <w:trHeight w:hRule="exact" w:val="300"/>
          <w:jc w:val="center"/>
        </w:trPr>
        <w:tc>
          <w:tcPr>
            <w:tcW w:w="565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Acquisition of business, net of cash acquired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716"/>
              </w:tabs>
              <w:spacing w:before="75" w:after="30"/>
              <w:jc w:val="right"/>
            </w:pPr>
            <w:r>
              <w:rPr>
                <w:b/>
                <w:color w:val="000000"/>
                <w:sz w:val="20"/>
              </w:rPr>
              <w:tab/>
              <w:t>(0.6)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852"/>
                <w:tab w:val="left" w:pos="1117"/>
              </w:tabs>
              <w:spacing w:before="75" w:after="30"/>
              <w:jc w:val="right"/>
            </w:pPr>
            <w:r>
              <w:rPr>
                <w:color w:val="000000"/>
                <w:sz w:val="20"/>
              </w:rPr>
              <w:tab/>
              <w:t>—</w:t>
            </w:r>
            <w:r>
              <w:rPr>
                <w:color w:val="000000"/>
                <w:sz w:val="20"/>
              </w:rPr>
              <w:tab/>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616"/>
              </w:tabs>
              <w:spacing w:before="75" w:after="30"/>
              <w:jc w:val="right"/>
            </w:pPr>
            <w:r>
              <w:rPr>
                <w:b/>
                <w:color w:val="000000"/>
                <w:sz w:val="20"/>
              </w:rPr>
              <w:tab/>
              <w:t>(88.9)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716"/>
              </w:tabs>
              <w:spacing w:before="75" w:after="30"/>
              <w:jc w:val="right"/>
            </w:pPr>
            <w:r>
              <w:rPr>
                <w:color w:val="000000"/>
                <w:sz w:val="20"/>
              </w:rPr>
              <w:tab/>
              <w:t>(4.9)</w:t>
            </w:r>
          </w:p>
        </w:tc>
      </w:tr>
      <w:tr w:rsidR="00DE25E4">
        <w:trPr>
          <w:cantSplit/>
          <w:trHeight w:hRule="exact" w:val="300"/>
          <w:jc w:val="center"/>
        </w:trPr>
        <w:tc>
          <w:tcPr>
            <w:tcW w:w="565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Proceeds from sale of business, net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852"/>
                <w:tab w:val="left" w:pos="1117"/>
              </w:tabs>
              <w:spacing w:before="75" w:after="30"/>
              <w:jc w:val="right"/>
            </w:pPr>
            <w:r>
              <w:rPr>
                <w:b/>
                <w:color w:val="000000"/>
                <w:sz w:val="20"/>
              </w:rPr>
              <w:tab/>
              <w:t>—</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802"/>
                <w:tab w:val="left" w:pos="1117"/>
              </w:tabs>
              <w:spacing w:before="75" w:after="30"/>
              <w:jc w:val="right"/>
            </w:pPr>
            <w:r>
              <w:rPr>
                <w:color w:val="000000"/>
                <w:sz w:val="20"/>
              </w:rPr>
              <w:tab/>
              <w:t>0.1</w:t>
            </w:r>
            <w:r>
              <w:rPr>
                <w:color w:val="000000"/>
                <w:sz w:val="20"/>
              </w:rPr>
              <w:tab/>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852"/>
                <w:tab w:val="left" w:pos="1117"/>
              </w:tabs>
              <w:spacing w:before="75" w:after="30"/>
              <w:jc w:val="right"/>
            </w:pPr>
            <w:r>
              <w:rPr>
                <w:b/>
                <w:color w:val="000000"/>
                <w:sz w:val="20"/>
              </w:rPr>
              <w:tab/>
              <w:t>—</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802"/>
                <w:tab w:val="left" w:pos="1117"/>
              </w:tabs>
              <w:spacing w:before="75" w:after="30"/>
              <w:jc w:val="right"/>
            </w:pPr>
            <w:r>
              <w:rPr>
                <w:color w:val="000000"/>
                <w:sz w:val="20"/>
              </w:rPr>
              <w:tab/>
              <w:t>1.0</w:t>
            </w:r>
            <w:r>
              <w:rPr>
                <w:color w:val="000000"/>
                <w:sz w:val="20"/>
              </w:rPr>
              <w:tab/>
            </w:r>
          </w:p>
        </w:tc>
      </w:tr>
      <w:tr w:rsidR="00DE25E4">
        <w:trPr>
          <w:cantSplit/>
          <w:trHeight w:hRule="exact" w:val="300"/>
          <w:jc w:val="center"/>
        </w:trPr>
        <w:tc>
          <w:tcPr>
            <w:tcW w:w="565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Other</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802"/>
                <w:tab w:val="left" w:pos="1117"/>
              </w:tabs>
              <w:spacing w:before="75" w:after="30"/>
              <w:jc w:val="right"/>
            </w:pPr>
            <w:r>
              <w:rPr>
                <w:b/>
                <w:color w:val="000000"/>
                <w:sz w:val="20"/>
              </w:rPr>
              <w:tab/>
              <w:t>8.1</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716"/>
              </w:tabs>
              <w:spacing w:before="75" w:after="30"/>
              <w:jc w:val="right"/>
            </w:pPr>
            <w:r>
              <w:rPr>
                <w:color w:val="000000"/>
                <w:sz w:val="20"/>
              </w:rPr>
              <w:tab/>
              <w:t>(1.1)</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702"/>
                <w:tab w:val="left" w:pos="1117"/>
              </w:tabs>
              <w:spacing w:before="75" w:after="30"/>
              <w:jc w:val="right"/>
            </w:pPr>
            <w:r>
              <w:rPr>
                <w:b/>
                <w:color w:val="000000"/>
                <w:sz w:val="20"/>
              </w:rPr>
              <w:tab/>
              <w:t>12.6</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702"/>
                <w:tab w:val="left" w:pos="1117"/>
              </w:tabs>
              <w:spacing w:before="75" w:after="30"/>
              <w:jc w:val="right"/>
            </w:pPr>
            <w:r>
              <w:rPr>
                <w:color w:val="000000"/>
                <w:sz w:val="20"/>
              </w:rPr>
              <w:tab/>
            </w:r>
            <w:r>
              <w:rPr>
                <w:color w:val="000000"/>
                <w:sz w:val="20"/>
              </w:rPr>
              <w:t>22.0</w:t>
            </w:r>
            <w:r>
              <w:rPr>
                <w:color w:val="000000"/>
                <w:sz w:val="20"/>
              </w:rPr>
              <w:tab/>
            </w:r>
          </w:p>
        </w:tc>
      </w:tr>
      <w:tr w:rsidR="00DE25E4">
        <w:trPr>
          <w:cantSplit/>
          <w:trHeight w:hRule="exact" w:val="300"/>
          <w:jc w:val="center"/>
        </w:trPr>
        <w:tc>
          <w:tcPr>
            <w:tcW w:w="565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55" w:after="30"/>
            </w:pPr>
            <w:r>
              <w:rPr>
                <w:b/>
                <w:color w:val="000000"/>
                <w:sz w:val="20"/>
              </w:rPr>
              <w:t>Net cash used in investing activities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DE25E4" w:rsidRDefault="00AD30C9">
            <w:pPr>
              <w:keepNext/>
              <w:tabs>
                <w:tab w:val="left" w:pos="616"/>
              </w:tabs>
              <w:spacing w:before="55" w:after="30"/>
              <w:jc w:val="right"/>
            </w:pPr>
            <w:r>
              <w:rPr>
                <w:b/>
                <w:color w:val="000000"/>
                <w:sz w:val="20"/>
              </w:rPr>
              <w:tab/>
              <w:t>(45.6)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DE25E4" w:rsidRDefault="00AD30C9">
            <w:pPr>
              <w:keepNext/>
              <w:tabs>
                <w:tab w:val="left" w:pos="616"/>
              </w:tabs>
              <w:spacing w:before="55" w:after="30"/>
              <w:jc w:val="right"/>
            </w:pPr>
            <w:r>
              <w:rPr>
                <w:color w:val="000000"/>
                <w:sz w:val="20"/>
              </w:rPr>
              <w:tab/>
              <w:t>(66.2)</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DE25E4" w:rsidRDefault="00AD30C9">
            <w:pPr>
              <w:keepNext/>
              <w:tabs>
                <w:tab w:val="left" w:pos="516"/>
              </w:tabs>
              <w:spacing w:before="55" w:after="30"/>
              <w:jc w:val="right"/>
            </w:pPr>
            <w:r>
              <w:rPr>
                <w:b/>
                <w:color w:val="000000"/>
                <w:sz w:val="20"/>
              </w:rPr>
              <w:tab/>
              <w:t>(243.0)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rsidR="00DE25E4" w:rsidRDefault="00AD30C9">
            <w:pPr>
              <w:keepNext/>
              <w:tabs>
                <w:tab w:val="left" w:pos="516"/>
              </w:tabs>
              <w:spacing w:before="55" w:after="30"/>
              <w:jc w:val="right"/>
            </w:pPr>
            <w:r>
              <w:rPr>
                <w:color w:val="000000"/>
                <w:sz w:val="20"/>
              </w:rPr>
              <w:tab/>
              <w:t>(161.1)</w:t>
            </w:r>
          </w:p>
        </w:tc>
      </w:tr>
      <w:tr w:rsidR="00DE25E4">
        <w:trPr>
          <w:cantSplit/>
          <w:trHeight w:hRule="exact" w:val="285"/>
          <w:jc w:val="center"/>
        </w:trPr>
        <w:tc>
          <w:tcPr>
            <w:tcW w:w="565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r>
      <w:tr w:rsidR="00DE25E4">
        <w:trPr>
          <w:cantSplit/>
          <w:trHeight w:hRule="exact" w:val="285"/>
          <w:jc w:val="center"/>
        </w:trPr>
        <w:tc>
          <w:tcPr>
            <w:tcW w:w="565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b/>
                <w:color w:val="000000"/>
                <w:sz w:val="20"/>
              </w:rPr>
              <w:t>Financing activities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r>
      <w:tr w:rsidR="00DE25E4">
        <w:trPr>
          <w:cantSplit/>
          <w:trHeight w:hRule="exact" w:val="300"/>
          <w:jc w:val="center"/>
        </w:trPr>
        <w:tc>
          <w:tcPr>
            <w:tcW w:w="565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Net debt activity</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616"/>
              </w:tabs>
              <w:spacing w:before="75" w:after="30"/>
              <w:jc w:val="right"/>
            </w:pPr>
            <w:r>
              <w:rPr>
                <w:b/>
                <w:color w:val="000000"/>
                <w:sz w:val="20"/>
              </w:rPr>
              <w:tab/>
              <w:t>(65.6)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716"/>
              </w:tabs>
              <w:spacing w:before="75" w:after="30"/>
              <w:jc w:val="right"/>
            </w:pPr>
            <w:r>
              <w:rPr>
                <w:color w:val="000000"/>
                <w:sz w:val="20"/>
              </w:rPr>
              <w:tab/>
              <w:t>(5.7)</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516"/>
              </w:tabs>
              <w:spacing w:before="75" w:after="30"/>
              <w:jc w:val="right"/>
            </w:pPr>
            <w:r>
              <w:rPr>
                <w:b/>
                <w:color w:val="000000"/>
                <w:sz w:val="20"/>
              </w:rPr>
              <w:tab/>
              <w:t>(216.8)</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516"/>
              </w:tabs>
              <w:spacing w:before="75" w:after="30"/>
              <w:jc w:val="right"/>
            </w:pPr>
            <w:r>
              <w:rPr>
                <w:color w:val="000000"/>
                <w:sz w:val="20"/>
              </w:rPr>
              <w:tab/>
              <w:t>(392.1)</w:t>
            </w:r>
          </w:p>
        </w:tc>
      </w:tr>
      <w:tr w:rsidR="00DE25E4">
        <w:trPr>
          <w:cantSplit/>
          <w:trHeight w:hRule="exact" w:val="300"/>
          <w:jc w:val="center"/>
        </w:trPr>
        <w:tc>
          <w:tcPr>
            <w:tcW w:w="565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Other</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DE25E4" w:rsidRDefault="00AD30C9">
            <w:pPr>
              <w:keepNext/>
              <w:tabs>
                <w:tab w:val="left" w:pos="716"/>
              </w:tabs>
              <w:spacing w:before="75" w:after="30"/>
              <w:jc w:val="right"/>
            </w:pPr>
            <w:r>
              <w:rPr>
                <w:b/>
                <w:color w:val="000000"/>
                <w:sz w:val="20"/>
              </w:rPr>
              <w:tab/>
              <w:t>(3.8)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DE25E4" w:rsidRDefault="00AD30C9">
            <w:pPr>
              <w:keepNext/>
              <w:tabs>
                <w:tab w:val="left" w:pos="716"/>
              </w:tabs>
              <w:spacing w:before="75" w:after="30"/>
              <w:jc w:val="right"/>
            </w:pPr>
            <w:r>
              <w:rPr>
                <w:color w:val="000000"/>
                <w:sz w:val="20"/>
              </w:rPr>
              <w:tab/>
              <w:t>(1.5)</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DE25E4" w:rsidRDefault="00AD30C9">
            <w:pPr>
              <w:keepNext/>
              <w:tabs>
                <w:tab w:val="left" w:pos="716"/>
              </w:tabs>
              <w:spacing w:before="75" w:after="30"/>
              <w:jc w:val="right"/>
            </w:pPr>
            <w:r>
              <w:rPr>
                <w:b/>
                <w:color w:val="000000"/>
                <w:sz w:val="20"/>
              </w:rPr>
              <w:tab/>
              <w:t>(0.4)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DE25E4" w:rsidRDefault="00AD30C9">
            <w:pPr>
              <w:keepNext/>
              <w:tabs>
                <w:tab w:val="left" w:pos="716"/>
              </w:tabs>
              <w:spacing w:before="75" w:after="30"/>
              <w:jc w:val="right"/>
            </w:pPr>
            <w:r>
              <w:rPr>
                <w:color w:val="000000"/>
                <w:sz w:val="20"/>
              </w:rPr>
              <w:tab/>
            </w:r>
            <w:r>
              <w:rPr>
                <w:color w:val="000000"/>
                <w:sz w:val="20"/>
              </w:rPr>
              <w:t>(9.3)</w:t>
            </w:r>
          </w:p>
        </w:tc>
      </w:tr>
      <w:tr w:rsidR="00DE25E4">
        <w:trPr>
          <w:cantSplit/>
          <w:trHeight w:hRule="exact" w:val="300"/>
          <w:jc w:val="center"/>
        </w:trPr>
        <w:tc>
          <w:tcPr>
            <w:tcW w:w="565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55" w:after="30"/>
            </w:pPr>
            <w:r>
              <w:rPr>
                <w:b/>
                <w:color w:val="000000"/>
                <w:sz w:val="20"/>
              </w:rPr>
              <w:t>Net cash used in financing activities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616"/>
              </w:tabs>
              <w:spacing w:before="55" w:after="30"/>
              <w:jc w:val="right"/>
            </w:pPr>
            <w:r>
              <w:rPr>
                <w:b/>
                <w:color w:val="000000"/>
                <w:sz w:val="20"/>
              </w:rPr>
              <w:tab/>
              <w:t>(69.4)</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716"/>
              </w:tabs>
              <w:spacing w:before="55" w:after="30"/>
              <w:jc w:val="right"/>
            </w:pPr>
            <w:r>
              <w:rPr>
                <w:color w:val="000000"/>
                <w:sz w:val="20"/>
              </w:rPr>
              <w:tab/>
              <w:t>(7.2)</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516"/>
              </w:tabs>
              <w:spacing w:before="55" w:after="30"/>
              <w:jc w:val="right"/>
            </w:pPr>
            <w:r>
              <w:rPr>
                <w:b/>
                <w:color w:val="000000"/>
                <w:sz w:val="20"/>
              </w:rPr>
              <w:tab/>
              <w:t>(217.2)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516"/>
              </w:tabs>
              <w:spacing w:before="55" w:after="30"/>
              <w:jc w:val="right"/>
            </w:pPr>
            <w:r>
              <w:rPr>
                <w:color w:val="000000"/>
                <w:sz w:val="20"/>
              </w:rPr>
              <w:tab/>
              <w:t>(401.4)</w:t>
            </w:r>
          </w:p>
        </w:tc>
      </w:tr>
      <w:tr w:rsidR="00DE25E4">
        <w:trPr>
          <w:cantSplit/>
          <w:trHeight w:hRule="exact" w:val="285"/>
          <w:jc w:val="center"/>
        </w:trPr>
        <w:tc>
          <w:tcPr>
            <w:tcW w:w="565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r>
      <w:tr w:rsidR="00DE25E4">
        <w:trPr>
          <w:cantSplit/>
          <w:trHeight w:hRule="exact" w:val="300"/>
          <w:jc w:val="center"/>
        </w:trPr>
        <w:tc>
          <w:tcPr>
            <w:tcW w:w="565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Effect of exchange rate changes on cash</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802"/>
                <w:tab w:val="left" w:pos="1117"/>
              </w:tabs>
              <w:spacing w:before="75" w:after="30"/>
              <w:jc w:val="right"/>
            </w:pPr>
            <w:r>
              <w:rPr>
                <w:b/>
                <w:color w:val="000000"/>
                <w:sz w:val="20"/>
              </w:rPr>
              <w:tab/>
              <w:t>5.7</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802"/>
                <w:tab w:val="left" w:pos="1117"/>
              </w:tabs>
              <w:spacing w:before="75" w:after="30"/>
              <w:jc w:val="right"/>
            </w:pPr>
            <w:r>
              <w:rPr>
                <w:color w:val="000000"/>
                <w:sz w:val="20"/>
              </w:rPr>
              <w:tab/>
              <w:t>0.5</w:t>
            </w:r>
            <w:r>
              <w:rPr>
                <w:color w:val="000000"/>
                <w:sz w:val="20"/>
              </w:rPr>
              <w:tab/>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716"/>
              </w:tabs>
              <w:spacing w:before="75" w:after="30"/>
              <w:jc w:val="right"/>
            </w:pPr>
            <w:r>
              <w:rPr>
                <w:b/>
                <w:color w:val="000000"/>
                <w:sz w:val="20"/>
              </w:rPr>
              <w:tab/>
              <w:t>(7.4)</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716"/>
              </w:tabs>
              <w:spacing w:before="75" w:after="30"/>
              <w:jc w:val="right"/>
            </w:pPr>
            <w:r>
              <w:rPr>
                <w:color w:val="000000"/>
                <w:sz w:val="20"/>
              </w:rPr>
              <w:tab/>
              <w:t>(2.7)</w:t>
            </w:r>
          </w:p>
        </w:tc>
      </w:tr>
      <w:tr w:rsidR="00DE25E4">
        <w:trPr>
          <w:cantSplit/>
          <w:trHeight w:hRule="exact" w:val="285"/>
          <w:jc w:val="center"/>
        </w:trPr>
        <w:tc>
          <w:tcPr>
            <w:tcW w:w="565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r>
      <w:tr w:rsidR="00DE25E4">
        <w:trPr>
          <w:cantSplit/>
          <w:trHeight w:hRule="exact" w:val="300"/>
          <w:jc w:val="center"/>
        </w:trPr>
        <w:tc>
          <w:tcPr>
            <w:tcW w:w="565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b/>
                <w:color w:val="000000"/>
                <w:sz w:val="20"/>
              </w:rPr>
              <w:t>Net increase (decrease) in cash and cash equivalents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702"/>
                <w:tab w:val="left" w:pos="1117"/>
              </w:tabs>
              <w:spacing w:before="75" w:after="30"/>
              <w:jc w:val="right"/>
            </w:pPr>
            <w:r>
              <w:rPr>
                <w:b/>
                <w:color w:val="000000"/>
                <w:sz w:val="20"/>
              </w:rPr>
              <w:tab/>
              <w:t>39.2</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702"/>
                <w:tab w:val="left" w:pos="1117"/>
              </w:tabs>
              <w:spacing w:before="75" w:after="30"/>
              <w:jc w:val="right"/>
            </w:pPr>
            <w:r>
              <w:rPr>
                <w:color w:val="000000"/>
                <w:sz w:val="20"/>
              </w:rPr>
              <w:tab/>
              <w:t>29.5</w:t>
            </w:r>
            <w:r>
              <w:rPr>
                <w:color w:val="000000"/>
                <w:sz w:val="20"/>
              </w:rPr>
              <w:tab/>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616"/>
              </w:tabs>
              <w:spacing w:before="75" w:after="30"/>
              <w:jc w:val="right"/>
            </w:pPr>
            <w:r>
              <w:rPr>
                <w:b/>
                <w:color w:val="000000"/>
                <w:sz w:val="20"/>
              </w:rPr>
              <w:tab/>
              <w:t>(18.7)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616"/>
              </w:tabs>
              <w:spacing w:before="75" w:after="30"/>
              <w:jc w:val="right"/>
            </w:pPr>
            <w:r>
              <w:rPr>
                <w:color w:val="000000"/>
                <w:sz w:val="20"/>
              </w:rPr>
              <w:tab/>
              <w:t>(26.8)</w:t>
            </w:r>
          </w:p>
        </w:tc>
      </w:tr>
      <w:tr w:rsidR="00DE25E4">
        <w:trPr>
          <w:cantSplit/>
          <w:trHeight w:hRule="exact" w:val="285"/>
          <w:jc w:val="center"/>
        </w:trPr>
        <w:tc>
          <w:tcPr>
            <w:tcW w:w="565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r>
      <w:tr w:rsidR="00DE25E4">
        <w:trPr>
          <w:cantSplit/>
          <w:trHeight w:hRule="exact" w:val="300"/>
          <w:jc w:val="center"/>
        </w:trPr>
        <w:tc>
          <w:tcPr>
            <w:tcW w:w="565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b/>
                <w:color w:val="000000"/>
                <w:sz w:val="20"/>
              </w:rPr>
              <w:t>Cash and cash equivalents at beginning of period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602"/>
                <w:tab w:val="left" w:pos="1117"/>
              </w:tabs>
              <w:spacing w:before="75" w:after="30"/>
              <w:jc w:val="right"/>
            </w:pPr>
            <w:r>
              <w:rPr>
                <w:b/>
                <w:color w:val="000000"/>
                <w:sz w:val="20"/>
              </w:rPr>
              <w:tab/>
              <w:t>472.3</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602"/>
                <w:tab w:val="left" w:pos="1117"/>
              </w:tabs>
              <w:spacing w:before="75" w:after="30"/>
              <w:jc w:val="right"/>
            </w:pPr>
            <w:r>
              <w:rPr>
                <w:color w:val="000000"/>
                <w:sz w:val="20"/>
              </w:rPr>
              <w:tab/>
              <w:t>500.7</w:t>
            </w:r>
            <w:r>
              <w:rPr>
                <w:color w:val="000000"/>
                <w:sz w:val="20"/>
              </w:rPr>
              <w:tab/>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602"/>
                <w:tab w:val="left" w:pos="1117"/>
              </w:tabs>
              <w:spacing w:before="75" w:after="30"/>
              <w:jc w:val="right"/>
            </w:pPr>
            <w:r>
              <w:rPr>
                <w:b/>
                <w:color w:val="000000"/>
                <w:sz w:val="20"/>
              </w:rPr>
              <w:tab/>
              <w:t>530.2</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602"/>
                <w:tab w:val="left" w:pos="1117"/>
              </w:tabs>
              <w:spacing w:before="75" w:after="30"/>
              <w:jc w:val="right"/>
            </w:pPr>
            <w:r>
              <w:rPr>
                <w:color w:val="000000"/>
                <w:sz w:val="20"/>
              </w:rPr>
              <w:tab/>
              <w:t>557.0</w:t>
            </w:r>
            <w:r>
              <w:rPr>
                <w:color w:val="000000"/>
                <w:sz w:val="20"/>
              </w:rPr>
              <w:tab/>
            </w:r>
          </w:p>
        </w:tc>
      </w:tr>
      <w:tr w:rsidR="00DE25E4">
        <w:trPr>
          <w:cantSplit/>
          <w:trHeight w:hRule="exact" w:val="285"/>
          <w:jc w:val="center"/>
        </w:trPr>
        <w:tc>
          <w:tcPr>
            <w:tcW w:w="565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8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1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r>
      <w:tr w:rsidR="00DE25E4">
        <w:trPr>
          <w:cantSplit/>
          <w:trHeight w:hRule="exact" w:val="300"/>
          <w:jc w:val="center"/>
        </w:trPr>
        <w:tc>
          <w:tcPr>
            <w:tcW w:w="565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spacing w:before="75" w:after="30"/>
            </w:pPr>
            <w:r>
              <w:rPr>
                <w:b/>
                <w:color w:val="000000"/>
                <w:sz w:val="20"/>
              </w:rPr>
              <w:t>Cash and cash equivalents at end of period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tc>
        <w:tc>
          <w:tcPr>
            <w:tcW w:w="1185" w:type="dxa"/>
            <w:tcBorders>
              <w:top w:val="nil"/>
              <w:left w:val="nil"/>
              <w:bottom w:val="double" w:sz="8" w:space="0" w:color="000000"/>
              <w:right w:val="nil"/>
            </w:tcBorders>
            <w:shd w:val="clear" w:color="auto" w:fill="FFFFFF"/>
            <w:tcMar>
              <w:top w:w="0" w:type="dxa"/>
              <w:left w:w="0" w:type="dxa"/>
              <w:bottom w:w="0" w:type="dxa"/>
              <w:right w:w="15" w:type="dxa"/>
            </w:tcMar>
            <w:vAlign w:val="bottom"/>
          </w:tcPr>
          <w:p w:rsidR="00DE25E4" w:rsidRDefault="00AD30C9">
            <w:pPr>
              <w:tabs>
                <w:tab w:val="left" w:pos="602"/>
                <w:tab w:val="left" w:pos="1117"/>
              </w:tabs>
              <w:spacing w:before="75" w:after="30"/>
              <w:jc w:val="right"/>
            </w:pPr>
            <w:r>
              <w:rPr>
                <w:b/>
                <w:color w:val="000000"/>
                <w:sz w:val="20"/>
              </w:rPr>
              <w:t>$</w:t>
            </w:r>
            <w:r>
              <w:rPr>
                <w:b/>
                <w:color w:val="000000"/>
                <w:sz w:val="20"/>
              </w:rPr>
              <w:tab/>
              <w:t>511.5</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tc>
        <w:tc>
          <w:tcPr>
            <w:tcW w:w="1185" w:type="dxa"/>
            <w:tcBorders>
              <w:top w:val="nil"/>
              <w:left w:val="nil"/>
              <w:bottom w:val="double" w:sz="8" w:space="0" w:color="000000"/>
              <w:right w:val="nil"/>
            </w:tcBorders>
            <w:shd w:val="clear" w:color="auto" w:fill="FFFFFF"/>
            <w:tcMar>
              <w:top w:w="0" w:type="dxa"/>
              <w:left w:w="0" w:type="dxa"/>
              <w:bottom w:w="0" w:type="dxa"/>
              <w:right w:w="15" w:type="dxa"/>
            </w:tcMar>
            <w:vAlign w:val="bottom"/>
          </w:tcPr>
          <w:p w:rsidR="00DE25E4" w:rsidRDefault="00AD30C9">
            <w:pPr>
              <w:tabs>
                <w:tab w:val="left" w:pos="602"/>
                <w:tab w:val="left" w:pos="1117"/>
              </w:tabs>
              <w:spacing w:before="75" w:after="30"/>
              <w:jc w:val="right"/>
            </w:pPr>
            <w:r>
              <w:rPr>
                <w:color w:val="000000"/>
                <w:sz w:val="20"/>
              </w:rPr>
              <w:t>$</w:t>
            </w:r>
            <w:r>
              <w:rPr>
                <w:color w:val="000000"/>
                <w:sz w:val="20"/>
              </w:rPr>
              <w:tab/>
              <w:t>530.2</w:t>
            </w:r>
            <w:r>
              <w:rPr>
                <w:color w:val="000000"/>
                <w:sz w:val="20"/>
              </w:rPr>
              <w:tab/>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tc>
        <w:tc>
          <w:tcPr>
            <w:tcW w:w="1185" w:type="dxa"/>
            <w:tcBorders>
              <w:top w:val="nil"/>
              <w:left w:val="nil"/>
              <w:bottom w:val="double" w:sz="8" w:space="0" w:color="000000"/>
              <w:right w:val="nil"/>
            </w:tcBorders>
            <w:shd w:val="clear" w:color="auto" w:fill="FFFFFF"/>
            <w:tcMar>
              <w:top w:w="0" w:type="dxa"/>
              <w:left w:w="0" w:type="dxa"/>
              <w:bottom w:w="0" w:type="dxa"/>
              <w:right w:w="15" w:type="dxa"/>
            </w:tcMar>
            <w:vAlign w:val="bottom"/>
          </w:tcPr>
          <w:p w:rsidR="00DE25E4" w:rsidRDefault="00AD30C9">
            <w:pPr>
              <w:tabs>
                <w:tab w:val="left" w:pos="602"/>
                <w:tab w:val="left" w:pos="1117"/>
              </w:tabs>
              <w:spacing w:before="75" w:after="30"/>
              <w:jc w:val="right"/>
            </w:pPr>
            <w:r>
              <w:rPr>
                <w:b/>
                <w:color w:val="000000"/>
                <w:sz w:val="20"/>
              </w:rPr>
              <w:t>$</w:t>
            </w:r>
            <w:r>
              <w:rPr>
                <w:b/>
                <w:color w:val="000000"/>
                <w:sz w:val="20"/>
              </w:rPr>
              <w:tab/>
              <w:t>511.5</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tc>
        <w:tc>
          <w:tcPr>
            <w:tcW w:w="1185" w:type="dxa"/>
            <w:tcBorders>
              <w:top w:val="nil"/>
              <w:left w:val="nil"/>
              <w:bottom w:val="double" w:sz="8" w:space="0" w:color="000000"/>
              <w:right w:val="nil"/>
            </w:tcBorders>
            <w:shd w:val="clear" w:color="auto" w:fill="FFFFFF"/>
            <w:tcMar>
              <w:top w:w="0" w:type="dxa"/>
              <w:left w:w="0" w:type="dxa"/>
              <w:bottom w:w="0" w:type="dxa"/>
              <w:right w:w="15" w:type="dxa"/>
            </w:tcMar>
            <w:vAlign w:val="bottom"/>
          </w:tcPr>
          <w:p w:rsidR="00DE25E4" w:rsidRDefault="00AD30C9">
            <w:pPr>
              <w:tabs>
                <w:tab w:val="left" w:pos="602"/>
                <w:tab w:val="left" w:pos="1117"/>
              </w:tabs>
              <w:spacing w:before="75" w:after="30"/>
              <w:jc w:val="right"/>
            </w:pPr>
            <w:r>
              <w:rPr>
                <w:color w:val="000000"/>
                <w:sz w:val="20"/>
              </w:rPr>
              <w:t>$</w:t>
            </w:r>
            <w:r>
              <w:rPr>
                <w:color w:val="000000"/>
                <w:sz w:val="20"/>
              </w:rPr>
              <w:tab/>
              <w:t>530.2</w:t>
            </w:r>
            <w:r>
              <w:rPr>
                <w:color w:val="000000"/>
                <w:sz w:val="20"/>
              </w:rPr>
              <w:tab/>
            </w:r>
          </w:p>
        </w:tc>
      </w:tr>
    </w:tbl>
    <w:p w:rsidR="00DE25E4" w:rsidRDefault="00DE25E4">
      <w:pPr>
        <w:spacing w:line="288" w:lineRule="auto"/>
        <w:jc w:val="center"/>
        <w:rPr>
          <w:sz w:val="20"/>
        </w:rPr>
      </w:pPr>
    </w:p>
    <w:p w:rsidR="00DE25E4" w:rsidRDefault="00DE25E4">
      <w:pPr>
        <w:spacing w:line="288" w:lineRule="auto"/>
        <w:rPr>
          <w:sz w:val="20"/>
        </w:rPr>
      </w:pPr>
    </w:p>
    <w:p w:rsidR="00DE25E4" w:rsidRDefault="00DE25E4">
      <w:pPr>
        <w:spacing w:line="288" w:lineRule="auto"/>
        <w:rPr>
          <w:sz w:val="20"/>
        </w:rPr>
        <w:sectPr w:rsidR="00DE25E4">
          <w:pgSz w:w="12240" w:h="15840"/>
          <w:pgMar w:top="720" w:right="720" w:bottom="720" w:left="720" w:header="0" w:footer="270" w:gutter="0"/>
          <w:cols w:space="708"/>
        </w:sectPr>
      </w:pPr>
    </w:p>
    <w:p w:rsidR="00DE25E4" w:rsidRDefault="00AD30C9">
      <w:pPr>
        <w:spacing w:line="288" w:lineRule="auto"/>
        <w:jc w:val="center"/>
        <w:outlineLvl w:val="0"/>
        <w:rPr>
          <w:b/>
          <w:sz w:val="20"/>
        </w:rPr>
      </w:pPr>
      <w:bookmarkStart w:id="5" w:name="Section5"/>
      <w:bookmarkEnd w:id="5"/>
      <w:r>
        <w:rPr>
          <w:b/>
          <w:sz w:val="20"/>
        </w:rPr>
        <w:lastRenderedPageBreak/>
        <w:t>AMERICAN AXLE &amp; MANUFACTURING HOLDINGS, INC.</w:t>
      </w:r>
    </w:p>
    <w:p w:rsidR="00DE25E4" w:rsidRDefault="00AD30C9">
      <w:pPr>
        <w:spacing w:line="288" w:lineRule="auto"/>
        <w:jc w:val="center"/>
        <w:rPr>
          <w:b/>
          <w:sz w:val="20"/>
        </w:rPr>
      </w:pPr>
      <w:r>
        <w:rPr>
          <w:b/>
          <w:sz w:val="20"/>
        </w:rPr>
        <w:t>SUPPLEMENTAL DATA</w:t>
      </w:r>
    </w:p>
    <w:p w:rsidR="00DE25E4" w:rsidRDefault="00AD30C9">
      <w:pPr>
        <w:spacing w:after="180" w:line="288" w:lineRule="auto"/>
        <w:jc w:val="center"/>
        <w:rPr>
          <w:i/>
          <w:sz w:val="20"/>
        </w:rPr>
      </w:pPr>
      <w:r>
        <w:rPr>
          <w:i/>
          <w:sz w:val="20"/>
        </w:rPr>
        <w:t xml:space="preserve">(Unaudited) </w:t>
      </w:r>
    </w:p>
    <w:p w:rsidR="00DE25E4" w:rsidRDefault="00AD30C9">
      <w:pPr>
        <w:spacing w:line="288" w:lineRule="auto"/>
        <w:jc w:val="center"/>
        <w:rPr>
          <w:sz w:val="20"/>
        </w:rPr>
      </w:pPr>
      <w:r>
        <w:rPr>
          <w:sz w:val="20"/>
        </w:rPr>
        <w:t xml:space="preserve">The supplemental data presented below is a reconciliation of </w:t>
      </w:r>
      <w:r>
        <w:rPr>
          <w:sz w:val="20"/>
        </w:rPr>
        <w:t>certain financial measures which is intended</w:t>
      </w:r>
    </w:p>
    <w:p w:rsidR="00DE25E4" w:rsidRDefault="00AD30C9">
      <w:pPr>
        <w:spacing w:after="180" w:line="288" w:lineRule="auto"/>
        <w:jc w:val="center"/>
        <w:rPr>
          <w:sz w:val="20"/>
        </w:rPr>
      </w:pPr>
      <w:r>
        <w:rPr>
          <w:sz w:val="20"/>
        </w:rPr>
        <w:t xml:space="preserve">to facilitate analysis of American Axle &amp; Manufacturing Holdings, Inc. business and operating performance. </w:t>
      </w:r>
    </w:p>
    <w:p w:rsidR="00DE25E4" w:rsidRDefault="00AD30C9">
      <w:pPr>
        <w:spacing w:line="288" w:lineRule="auto"/>
        <w:jc w:val="center"/>
        <w:rPr>
          <w:b/>
          <w:sz w:val="20"/>
        </w:rPr>
      </w:pPr>
      <w:r>
        <w:rPr>
          <w:b/>
          <w:sz w:val="20"/>
        </w:rPr>
        <w:t xml:space="preserve">Earnings before interest expense, income taxes and depreciation and amortization (EBITDA) and Adjusted </w:t>
      </w:r>
      <w:r>
        <w:rPr>
          <w:b/>
          <w:sz w:val="20"/>
        </w:rPr>
        <w:t>EBITDA</w:t>
      </w:r>
      <w:r>
        <w:rPr>
          <w:b/>
          <w:sz w:val="16"/>
          <w:vertAlign w:val="superscript"/>
        </w:rPr>
        <w:t>(a)</w:t>
      </w:r>
      <w:r>
        <w:rPr>
          <w:sz w:val="20"/>
        </w:rPr>
        <w:t xml:space="preserve">  </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0"/>
        <w:gridCol w:w="1248"/>
        <w:gridCol w:w="126"/>
        <w:gridCol w:w="1248"/>
        <w:gridCol w:w="126"/>
        <w:gridCol w:w="1248"/>
        <w:gridCol w:w="126"/>
        <w:gridCol w:w="1248"/>
      </w:tblGrid>
      <w:tr w:rsidR="00DE25E4">
        <w:trPr>
          <w:cantSplit/>
          <w:trHeight w:hRule="exact" w:val="300"/>
          <w:jc w:val="center"/>
        </w:trPr>
        <w:tc>
          <w:tcPr>
            <w:tcW w:w="549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2595" w:type="dxa"/>
            <w:gridSpan w:val="3"/>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jc w:val="center"/>
            </w:pPr>
            <w:r>
              <w:rPr>
                <w:b/>
                <w:color w:val="000000"/>
                <w:sz w:val="20"/>
              </w:rPr>
              <w:t xml:space="preserve">Three Months Ended </w:t>
            </w:r>
          </w:p>
        </w:tc>
        <w:tc>
          <w:tcPr>
            <w:tcW w:w="12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2595" w:type="dxa"/>
            <w:gridSpan w:val="3"/>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jc w:val="center"/>
            </w:pPr>
            <w:r>
              <w:rPr>
                <w:b/>
                <w:color w:val="000000"/>
                <w:sz w:val="20"/>
              </w:rPr>
              <w:t>Twelve Months Ended</w:t>
            </w:r>
          </w:p>
        </w:tc>
      </w:tr>
      <w:tr w:rsidR="00DE25E4">
        <w:trPr>
          <w:cantSplit/>
          <w:trHeight w:hRule="exact" w:val="240"/>
          <w:jc w:val="center"/>
        </w:trPr>
        <w:tc>
          <w:tcPr>
            <w:tcW w:w="5490" w:type="dxa"/>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pPr>
            <w:r>
              <w:rPr>
                <w:color w:val="000000"/>
                <w:sz w:val="20"/>
              </w:rPr>
              <w:t> </w:t>
            </w:r>
          </w:p>
        </w:tc>
        <w:tc>
          <w:tcPr>
            <w:tcW w:w="2595" w:type="dxa"/>
            <w:gridSpan w:val="3"/>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jc w:val="center"/>
            </w:pPr>
            <w:r>
              <w:rPr>
                <w:b/>
                <w:color w:val="000000"/>
                <w:sz w:val="20"/>
              </w:rPr>
              <w:t>December 31,</w:t>
            </w:r>
          </w:p>
        </w:tc>
        <w:tc>
          <w:tcPr>
            <w:tcW w:w="12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2595" w:type="dxa"/>
            <w:gridSpan w:val="3"/>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jc w:val="center"/>
            </w:pPr>
            <w:r>
              <w:rPr>
                <w:b/>
                <w:color w:val="000000"/>
                <w:sz w:val="20"/>
              </w:rPr>
              <w:t>December 31,</w:t>
            </w:r>
          </w:p>
        </w:tc>
      </w:tr>
      <w:tr w:rsidR="00DE25E4">
        <w:trPr>
          <w:cantSplit/>
          <w:trHeight w:hRule="exact" w:val="240"/>
          <w:jc w:val="center"/>
        </w:trPr>
        <w:tc>
          <w:tcPr>
            <w:tcW w:w="549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single" w:sz="8" w:space="0" w:color="000000"/>
              <w:right w:val="nil"/>
            </w:tcBorders>
            <w:tcMar>
              <w:top w:w="0" w:type="dxa"/>
              <w:left w:w="53" w:type="dxa"/>
              <w:bottom w:w="0" w:type="dxa"/>
              <w:right w:w="53" w:type="dxa"/>
            </w:tcMar>
            <w:vAlign w:val="bottom"/>
          </w:tcPr>
          <w:p w:rsidR="00DE25E4" w:rsidRDefault="00AD30C9">
            <w:pPr>
              <w:keepNext/>
              <w:spacing w:before="55" w:after="30"/>
              <w:jc w:val="center"/>
            </w:pPr>
            <w:r>
              <w:rPr>
                <w:b/>
                <w:color w:val="000000"/>
                <w:sz w:val="20"/>
              </w:rPr>
              <w:t>2022</w:t>
            </w:r>
          </w:p>
        </w:tc>
        <w:tc>
          <w:tcPr>
            <w:tcW w:w="75" w:type="dxa"/>
            <w:tcBorders>
              <w:top w:val="single" w:sz="8" w:space="0" w:color="000000"/>
              <w:left w:val="nil"/>
              <w:bottom w:val="nil"/>
              <w:right w:val="nil"/>
            </w:tcBorders>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single" w:sz="8" w:space="0" w:color="000000"/>
              <w:right w:val="nil"/>
            </w:tcBorders>
            <w:tcMar>
              <w:top w:w="0" w:type="dxa"/>
              <w:left w:w="53" w:type="dxa"/>
              <w:bottom w:w="0" w:type="dxa"/>
              <w:right w:w="53" w:type="dxa"/>
            </w:tcMar>
            <w:vAlign w:val="bottom"/>
          </w:tcPr>
          <w:p w:rsidR="00DE25E4" w:rsidRDefault="00AD30C9">
            <w:pPr>
              <w:keepNext/>
              <w:spacing w:before="55" w:after="30"/>
              <w:jc w:val="center"/>
            </w:pPr>
            <w:r>
              <w:rPr>
                <w:b/>
                <w:color w:val="000000"/>
                <w:sz w:val="20"/>
              </w:rPr>
              <w:t>2021</w:t>
            </w:r>
          </w:p>
        </w:tc>
        <w:tc>
          <w:tcPr>
            <w:tcW w:w="12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single" w:sz="8" w:space="0" w:color="000000"/>
              <w:right w:val="nil"/>
            </w:tcBorders>
            <w:tcMar>
              <w:top w:w="0" w:type="dxa"/>
              <w:left w:w="53" w:type="dxa"/>
              <w:bottom w:w="0" w:type="dxa"/>
              <w:right w:w="53" w:type="dxa"/>
            </w:tcMar>
            <w:vAlign w:val="bottom"/>
          </w:tcPr>
          <w:p w:rsidR="00DE25E4" w:rsidRDefault="00AD30C9">
            <w:pPr>
              <w:keepNext/>
              <w:spacing w:before="55" w:after="30"/>
              <w:jc w:val="center"/>
            </w:pPr>
            <w:r>
              <w:rPr>
                <w:b/>
                <w:color w:val="000000"/>
                <w:sz w:val="20"/>
              </w:rPr>
              <w:t>2022</w:t>
            </w:r>
          </w:p>
        </w:tc>
        <w:tc>
          <w:tcPr>
            <w:tcW w:w="75" w:type="dxa"/>
            <w:tcBorders>
              <w:top w:val="single" w:sz="8" w:space="0" w:color="000000"/>
              <w:left w:val="nil"/>
              <w:bottom w:val="nil"/>
              <w:right w:val="nil"/>
            </w:tcBorders>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single" w:sz="8" w:space="0" w:color="000000"/>
              <w:right w:val="nil"/>
            </w:tcBorders>
            <w:tcMar>
              <w:top w:w="0" w:type="dxa"/>
              <w:left w:w="53" w:type="dxa"/>
              <w:bottom w:w="0" w:type="dxa"/>
              <w:right w:w="53" w:type="dxa"/>
            </w:tcMar>
            <w:vAlign w:val="bottom"/>
          </w:tcPr>
          <w:p w:rsidR="00DE25E4" w:rsidRDefault="00AD30C9">
            <w:pPr>
              <w:keepNext/>
              <w:spacing w:before="55" w:after="30"/>
              <w:jc w:val="center"/>
            </w:pPr>
            <w:r>
              <w:rPr>
                <w:b/>
                <w:color w:val="000000"/>
                <w:sz w:val="20"/>
              </w:rPr>
              <w:t>2021</w:t>
            </w:r>
          </w:p>
        </w:tc>
      </w:tr>
      <w:tr w:rsidR="00DE25E4">
        <w:trPr>
          <w:cantSplit/>
          <w:trHeight w:hRule="exact" w:val="240"/>
          <w:jc w:val="center"/>
        </w:trPr>
        <w:tc>
          <w:tcPr>
            <w:tcW w:w="5490" w:type="dxa"/>
            <w:tcBorders>
              <w:top w:val="nil"/>
              <w:left w:val="nil"/>
              <w:bottom w:val="nil"/>
              <w:right w:val="nil"/>
            </w:tcBorders>
            <w:tcMar>
              <w:top w:w="0" w:type="dxa"/>
              <w:left w:w="53" w:type="dxa"/>
              <w:bottom w:w="0" w:type="dxa"/>
              <w:right w:w="53" w:type="dxa"/>
            </w:tcMar>
            <w:vAlign w:val="bottom"/>
          </w:tcPr>
          <w:p w:rsidR="00DE25E4" w:rsidRDefault="00AD30C9">
            <w:pPr>
              <w:keepNext/>
              <w:spacing w:before="55" w:after="30"/>
            </w:pPr>
            <w:r>
              <w:rPr>
                <w:color w:val="000000"/>
                <w:sz w:val="20"/>
              </w:rPr>
              <w:t> </w:t>
            </w:r>
          </w:p>
        </w:tc>
        <w:tc>
          <w:tcPr>
            <w:tcW w:w="5310" w:type="dxa"/>
            <w:gridSpan w:val="7"/>
            <w:tcBorders>
              <w:top w:val="nil"/>
              <w:left w:val="nil"/>
              <w:bottom w:val="nil"/>
              <w:right w:val="nil"/>
            </w:tcBorders>
            <w:tcMar>
              <w:top w:w="0" w:type="dxa"/>
              <w:left w:w="53" w:type="dxa"/>
              <w:bottom w:w="0" w:type="dxa"/>
              <w:right w:w="53" w:type="dxa"/>
            </w:tcMar>
            <w:vAlign w:val="bottom"/>
          </w:tcPr>
          <w:p w:rsidR="00DE25E4" w:rsidRDefault="00AD30C9">
            <w:pPr>
              <w:keepNext/>
              <w:spacing w:before="55" w:after="30"/>
              <w:jc w:val="center"/>
            </w:pPr>
            <w:r>
              <w:rPr>
                <w:i/>
                <w:color w:val="000000"/>
                <w:sz w:val="20"/>
              </w:rPr>
              <w:t>(in millions)</w:t>
            </w:r>
          </w:p>
        </w:tc>
      </w:tr>
      <w:tr w:rsidR="00DE25E4">
        <w:trPr>
          <w:cantSplit/>
          <w:trHeight w:hRule="exact" w:val="75"/>
          <w:jc w:val="center"/>
        </w:trPr>
        <w:tc>
          <w:tcPr>
            <w:tcW w:w="549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r>
      <w:tr w:rsidR="00DE25E4">
        <w:trPr>
          <w:cantSplit/>
          <w:trHeight w:hRule="exact" w:val="300"/>
          <w:jc w:val="center"/>
        </w:trPr>
        <w:tc>
          <w:tcPr>
            <w:tcW w:w="5490"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Net income (loss)</w:t>
            </w: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b/>
                <w:color w:val="000000"/>
                <w:sz w:val="20"/>
              </w:rPr>
              <w:t>$</w:t>
            </w:r>
            <w:r>
              <w:rPr>
                <w:b/>
                <w:color w:val="000000"/>
                <w:sz w:val="20"/>
              </w:rPr>
              <w:tab/>
              <w:t>13.9</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91"/>
              </w:tabs>
              <w:spacing w:before="75" w:after="30"/>
              <w:jc w:val="right"/>
            </w:pPr>
            <w:r>
              <w:rPr>
                <w:color w:val="000000"/>
                <w:sz w:val="20"/>
              </w:rPr>
              <w:t>$</w:t>
            </w:r>
            <w:r>
              <w:rPr>
                <w:color w:val="000000"/>
                <w:sz w:val="20"/>
              </w:rPr>
              <w:tab/>
              <w:t>(46.3)</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b/>
                <w:color w:val="000000"/>
                <w:sz w:val="20"/>
              </w:rPr>
              <w:t>$</w:t>
            </w:r>
            <w:r>
              <w:rPr>
                <w:b/>
                <w:color w:val="000000"/>
                <w:sz w:val="20"/>
              </w:rPr>
              <w:tab/>
              <w:t>64.3</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877"/>
                <w:tab w:val="left" w:pos="1192"/>
              </w:tabs>
              <w:spacing w:before="75" w:after="30"/>
              <w:jc w:val="right"/>
            </w:pPr>
            <w:r>
              <w:rPr>
                <w:color w:val="000000"/>
                <w:sz w:val="20"/>
              </w:rPr>
              <w:t>$</w:t>
            </w:r>
            <w:r>
              <w:rPr>
                <w:color w:val="000000"/>
                <w:sz w:val="20"/>
              </w:rPr>
              <w:tab/>
              <w:t>5.9</w:t>
            </w:r>
            <w:r>
              <w:rPr>
                <w:color w:val="000000"/>
                <w:sz w:val="20"/>
              </w:rPr>
              <w:tab/>
            </w:r>
          </w:p>
        </w:tc>
      </w:tr>
      <w:tr w:rsidR="00DE25E4">
        <w:trPr>
          <w:cantSplit/>
          <w:trHeight w:hRule="exact" w:val="300"/>
          <w:jc w:val="center"/>
        </w:trPr>
        <w:tc>
          <w:tcPr>
            <w:tcW w:w="5490"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Interest expense</w:t>
            </w: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b/>
                <w:color w:val="000000"/>
                <w:sz w:val="20"/>
              </w:rPr>
              <w:tab/>
              <w:t>42.3</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color w:val="000000"/>
                <w:sz w:val="20"/>
              </w:rPr>
              <w:tab/>
              <w:t>44.5</w:t>
            </w:r>
            <w:r>
              <w:rPr>
                <w:color w:val="000000"/>
                <w:sz w:val="20"/>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677"/>
                <w:tab w:val="left" w:pos="1192"/>
              </w:tabs>
              <w:spacing w:before="75" w:after="30"/>
              <w:jc w:val="right"/>
            </w:pPr>
            <w:r>
              <w:rPr>
                <w:b/>
                <w:color w:val="000000"/>
                <w:sz w:val="20"/>
              </w:rPr>
              <w:tab/>
              <w:t>174.5</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677"/>
                <w:tab w:val="left" w:pos="1192"/>
              </w:tabs>
              <w:spacing w:before="75" w:after="30"/>
              <w:jc w:val="right"/>
            </w:pPr>
            <w:r>
              <w:rPr>
                <w:color w:val="000000"/>
                <w:sz w:val="20"/>
              </w:rPr>
              <w:tab/>
              <w:t>195.2</w:t>
            </w:r>
            <w:r>
              <w:rPr>
                <w:color w:val="000000"/>
                <w:sz w:val="20"/>
              </w:rPr>
              <w:tab/>
            </w:r>
          </w:p>
        </w:tc>
      </w:tr>
      <w:tr w:rsidR="00DE25E4">
        <w:trPr>
          <w:cantSplit/>
          <w:trHeight w:hRule="exact" w:val="300"/>
          <w:jc w:val="center"/>
        </w:trPr>
        <w:tc>
          <w:tcPr>
            <w:tcW w:w="5490"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Income tax expense (benefit)</w:t>
            </w: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877"/>
                <w:tab w:val="left" w:pos="1192"/>
              </w:tabs>
              <w:spacing w:before="75" w:after="30"/>
              <w:jc w:val="right"/>
            </w:pPr>
            <w:r>
              <w:rPr>
                <w:b/>
                <w:color w:val="000000"/>
                <w:sz w:val="20"/>
              </w:rPr>
              <w:tab/>
              <w:t>4.1</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91"/>
              </w:tabs>
              <w:spacing w:before="75" w:after="30"/>
              <w:jc w:val="right"/>
            </w:pPr>
            <w:r>
              <w:rPr>
                <w:color w:val="000000"/>
                <w:sz w:val="20"/>
              </w:rPr>
              <w:tab/>
              <w:t>(2.3)</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877"/>
                <w:tab w:val="left" w:pos="1192"/>
              </w:tabs>
              <w:spacing w:before="75" w:after="30"/>
              <w:jc w:val="right"/>
            </w:pPr>
            <w:r>
              <w:rPr>
                <w:b/>
                <w:color w:val="000000"/>
                <w:sz w:val="20"/>
              </w:rPr>
              <w:tab/>
              <w:t>2.0</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91"/>
              </w:tabs>
              <w:spacing w:before="75" w:after="30"/>
              <w:jc w:val="right"/>
            </w:pPr>
            <w:r>
              <w:rPr>
                <w:color w:val="000000"/>
                <w:sz w:val="20"/>
              </w:rPr>
              <w:tab/>
              <w:t>(4.7)</w:t>
            </w:r>
          </w:p>
        </w:tc>
      </w:tr>
      <w:tr w:rsidR="00DE25E4">
        <w:trPr>
          <w:cantSplit/>
          <w:trHeight w:hRule="exact" w:val="300"/>
          <w:jc w:val="center"/>
        </w:trPr>
        <w:tc>
          <w:tcPr>
            <w:tcW w:w="5490"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 xml:space="preserve">Depreciation and </w:t>
            </w:r>
            <w:r>
              <w:rPr>
                <w:color w:val="000000"/>
                <w:sz w:val="20"/>
              </w:rPr>
              <w:t>amortization</w:t>
            </w:r>
          </w:p>
        </w:tc>
        <w:tc>
          <w:tcPr>
            <w:tcW w:w="126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677"/>
                <w:tab w:val="left" w:pos="1192"/>
              </w:tabs>
              <w:spacing w:before="75" w:after="30"/>
              <w:jc w:val="right"/>
            </w:pPr>
            <w:r>
              <w:rPr>
                <w:b/>
                <w:color w:val="000000"/>
                <w:sz w:val="20"/>
              </w:rPr>
              <w:tab/>
              <w:t>125.0</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677"/>
                <w:tab w:val="left" w:pos="1192"/>
              </w:tabs>
              <w:spacing w:before="75" w:after="30"/>
              <w:jc w:val="right"/>
            </w:pPr>
            <w:r>
              <w:rPr>
                <w:color w:val="000000"/>
                <w:sz w:val="20"/>
              </w:rPr>
              <w:tab/>
              <w:t>123.1</w:t>
            </w:r>
            <w:r>
              <w:rPr>
                <w:color w:val="000000"/>
                <w:sz w:val="20"/>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677"/>
                <w:tab w:val="left" w:pos="1192"/>
              </w:tabs>
              <w:spacing w:before="75" w:after="30"/>
              <w:jc w:val="right"/>
            </w:pPr>
            <w:r>
              <w:rPr>
                <w:b/>
                <w:color w:val="000000"/>
                <w:sz w:val="20"/>
              </w:rPr>
              <w:tab/>
              <w:t>492.1</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677"/>
                <w:tab w:val="left" w:pos="1192"/>
              </w:tabs>
              <w:spacing w:before="75" w:after="30"/>
              <w:jc w:val="right"/>
            </w:pPr>
            <w:r>
              <w:rPr>
                <w:color w:val="000000"/>
                <w:sz w:val="20"/>
              </w:rPr>
              <w:tab/>
              <w:t>544.3</w:t>
            </w:r>
            <w:r>
              <w:rPr>
                <w:color w:val="000000"/>
                <w:sz w:val="20"/>
              </w:rPr>
              <w:tab/>
            </w:r>
          </w:p>
        </w:tc>
      </w:tr>
      <w:tr w:rsidR="00DE25E4">
        <w:trPr>
          <w:cantSplit/>
          <w:trHeight w:hRule="exact" w:val="300"/>
          <w:jc w:val="center"/>
        </w:trPr>
        <w:tc>
          <w:tcPr>
            <w:tcW w:w="5490"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55" w:after="30"/>
            </w:pPr>
            <w:r>
              <w:rPr>
                <w:b/>
                <w:color w:val="000000"/>
                <w:sz w:val="20"/>
              </w:rPr>
              <w:t>EBITDA</w:t>
            </w:r>
          </w:p>
        </w:tc>
        <w:tc>
          <w:tcPr>
            <w:tcW w:w="12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77"/>
                <w:tab w:val="left" w:pos="1192"/>
              </w:tabs>
              <w:spacing w:before="55" w:after="30"/>
              <w:jc w:val="right"/>
            </w:pPr>
            <w:r>
              <w:rPr>
                <w:b/>
                <w:color w:val="000000"/>
                <w:sz w:val="20"/>
              </w:rPr>
              <w:tab/>
              <w:t>185.3</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77"/>
                <w:tab w:val="left" w:pos="1192"/>
              </w:tabs>
              <w:spacing w:before="55" w:after="30"/>
              <w:jc w:val="right"/>
            </w:pPr>
            <w:r>
              <w:rPr>
                <w:color w:val="000000"/>
                <w:sz w:val="20"/>
              </w:rPr>
              <w:tab/>
              <w:t>119.0</w:t>
            </w:r>
            <w:r>
              <w:rPr>
                <w:color w:val="000000"/>
                <w:sz w:val="20"/>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77"/>
                <w:tab w:val="left" w:pos="1192"/>
              </w:tabs>
              <w:spacing w:before="55" w:after="30"/>
              <w:jc w:val="right"/>
            </w:pPr>
            <w:r>
              <w:rPr>
                <w:b/>
                <w:color w:val="000000"/>
                <w:sz w:val="20"/>
              </w:rPr>
              <w:tab/>
              <w:t>732.9</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77"/>
                <w:tab w:val="left" w:pos="1192"/>
              </w:tabs>
              <w:spacing w:before="55" w:after="30"/>
              <w:jc w:val="right"/>
            </w:pPr>
            <w:r>
              <w:rPr>
                <w:color w:val="000000"/>
                <w:sz w:val="20"/>
              </w:rPr>
              <w:tab/>
              <w:t>740.7</w:t>
            </w:r>
            <w:r>
              <w:rPr>
                <w:color w:val="000000"/>
                <w:sz w:val="20"/>
              </w:rPr>
              <w:tab/>
            </w:r>
          </w:p>
        </w:tc>
      </w:tr>
      <w:tr w:rsidR="00DE25E4">
        <w:trPr>
          <w:cantSplit/>
          <w:trHeight w:hRule="exact" w:val="300"/>
          <w:jc w:val="center"/>
        </w:trPr>
        <w:tc>
          <w:tcPr>
            <w:tcW w:w="5490"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Restructuring and acquisition-related costs</w:t>
            </w: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877"/>
                <w:tab w:val="left" w:pos="1192"/>
              </w:tabs>
              <w:spacing w:before="75" w:after="30"/>
              <w:jc w:val="right"/>
            </w:pPr>
            <w:r>
              <w:rPr>
                <w:b/>
                <w:color w:val="000000"/>
                <w:sz w:val="20"/>
              </w:rPr>
              <w:tab/>
              <w:t>3.8</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877"/>
                <w:tab w:val="left" w:pos="1192"/>
              </w:tabs>
              <w:spacing w:before="75" w:after="30"/>
              <w:jc w:val="right"/>
            </w:pPr>
            <w:r>
              <w:rPr>
                <w:color w:val="000000"/>
                <w:sz w:val="20"/>
              </w:rPr>
              <w:tab/>
              <w:t>8.6</w:t>
            </w:r>
            <w:r>
              <w:rPr>
                <w:color w:val="000000"/>
                <w:sz w:val="20"/>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b/>
                <w:color w:val="000000"/>
                <w:sz w:val="20"/>
              </w:rPr>
              <w:tab/>
              <w:t>30.2</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color w:val="000000"/>
                <w:sz w:val="20"/>
              </w:rPr>
              <w:tab/>
              <w:t>49.4</w:t>
            </w:r>
            <w:r>
              <w:rPr>
                <w:color w:val="000000"/>
                <w:sz w:val="20"/>
              </w:rPr>
              <w:tab/>
            </w:r>
          </w:p>
        </w:tc>
      </w:tr>
      <w:tr w:rsidR="00DE25E4">
        <w:trPr>
          <w:cantSplit/>
          <w:trHeight w:hRule="exact" w:val="300"/>
          <w:jc w:val="center"/>
        </w:trPr>
        <w:tc>
          <w:tcPr>
            <w:tcW w:w="5490"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Debt refinancing and redemption costs</w:t>
            </w: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877"/>
                <w:tab w:val="left" w:pos="1192"/>
              </w:tabs>
              <w:spacing w:before="75" w:after="30"/>
              <w:jc w:val="right"/>
            </w:pPr>
            <w:r>
              <w:rPr>
                <w:b/>
                <w:color w:val="000000"/>
                <w:sz w:val="20"/>
              </w:rPr>
              <w:tab/>
              <w:t>0.4</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color w:val="000000"/>
                <w:sz w:val="20"/>
              </w:rPr>
              <w:tab/>
              <w:t>—</w:t>
            </w:r>
            <w:r>
              <w:rPr>
                <w:color w:val="000000"/>
                <w:sz w:val="20"/>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877"/>
                <w:tab w:val="left" w:pos="1192"/>
              </w:tabs>
              <w:spacing w:before="75" w:after="30"/>
              <w:jc w:val="right"/>
            </w:pPr>
            <w:r>
              <w:rPr>
                <w:b/>
                <w:color w:val="000000"/>
                <w:sz w:val="20"/>
              </w:rPr>
              <w:tab/>
              <w:t>6.4</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color w:val="000000"/>
                <w:sz w:val="20"/>
              </w:rPr>
              <w:tab/>
              <w:t>34.0</w:t>
            </w:r>
            <w:r>
              <w:rPr>
                <w:color w:val="000000"/>
                <w:sz w:val="20"/>
              </w:rPr>
              <w:tab/>
            </w:r>
          </w:p>
        </w:tc>
      </w:tr>
      <w:tr w:rsidR="00DE25E4">
        <w:trPr>
          <w:cantSplit/>
          <w:trHeight w:hRule="exact" w:val="300"/>
          <w:jc w:val="center"/>
        </w:trPr>
        <w:tc>
          <w:tcPr>
            <w:tcW w:w="5490"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Loss on sale of business</w:t>
            </w: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b/>
                <w:color w:val="000000"/>
                <w:sz w:val="20"/>
              </w:rPr>
              <w:tab/>
              <w:t>—</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color w:val="000000"/>
                <w:sz w:val="20"/>
              </w:rPr>
              <w:tab/>
              <w:t>—</w:t>
            </w:r>
            <w:r>
              <w:rPr>
                <w:color w:val="000000"/>
                <w:sz w:val="20"/>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b/>
                <w:color w:val="000000"/>
                <w:sz w:val="20"/>
              </w:rPr>
              <w:tab/>
              <w:t>—</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877"/>
                <w:tab w:val="left" w:pos="1192"/>
              </w:tabs>
              <w:spacing w:before="75" w:after="30"/>
              <w:jc w:val="right"/>
            </w:pPr>
            <w:r>
              <w:rPr>
                <w:color w:val="000000"/>
                <w:sz w:val="20"/>
              </w:rPr>
              <w:tab/>
              <w:t>2.7</w:t>
            </w:r>
            <w:r>
              <w:rPr>
                <w:color w:val="000000"/>
                <w:sz w:val="20"/>
              </w:rPr>
              <w:tab/>
            </w:r>
          </w:p>
        </w:tc>
      </w:tr>
      <w:tr w:rsidR="00DE25E4">
        <w:trPr>
          <w:cantSplit/>
          <w:trHeight w:hRule="exact" w:val="300"/>
          <w:jc w:val="center"/>
        </w:trPr>
        <w:tc>
          <w:tcPr>
            <w:tcW w:w="5490"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Unrealized loss (gain) on equity securities</w:t>
            </w: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877"/>
                <w:tab w:val="left" w:pos="1192"/>
              </w:tabs>
              <w:spacing w:before="75" w:after="30"/>
              <w:jc w:val="right"/>
            </w:pPr>
            <w:r>
              <w:rPr>
                <w:b/>
                <w:color w:val="000000"/>
                <w:sz w:val="20"/>
              </w:rPr>
              <w:tab/>
              <w:t>1.5</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91"/>
              </w:tabs>
              <w:spacing w:before="75" w:after="30"/>
              <w:jc w:val="right"/>
            </w:pPr>
            <w:r>
              <w:rPr>
                <w:color w:val="000000"/>
                <w:sz w:val="20"/>
              </w:rPr>
              <w:tab/>
              <w:t>(5.0)</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b/>
                <w:color w:val="000000"/>
                <w:sz w:val="20"/>
              </w:rPr>
              <w:tab/>
              <w:t>25.5</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91"/>
              </w:tabs>
              <w:spacing w:before="75" w:after="30"/>
              <w:jc w:val="right"/>
            </w:pPr>
            <w:r>
              <w:rPr>
                <w:color w:val="000000"/>
                <w:sz w:val="20"/>
              </w:rPr>
              <w:tab/>
              <w:t>(24.4)</w:t>
            </w:r>
          </w:p>
        </w:tc>
      </w:tr>
      <w:tr w:rsidR="00DE25E4">
        <w:trPr>
          <w:cantSplit/>
          <w:trHeight w:hRule="exact" w:val="315"/>
          <w:jc w:val="center"/>
        </w:trPr>
        <w:tc>
          <w:tcPr>
            <w:tcW w:w="5490"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Pension settlements</w:t>
            </w: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b/>
                <w:color w:val="000000"/>
                <w:sz w:val="20"/>
              </w:rPr>
              <w:tab/>
              <w:t>—</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color w:val="000000"/>
                <w:sz w:val="20"/>
              </w:rPr>
              <w:tab/>
              <w:t>42.3</w:t>
            </w:r>
            <w:r>
              <w:rPr>
                <w:color w:val="000000"/>
                <w:sz w:val="20"/>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b/>
                <w:color w:val="000000"/>
                <w:sz w:val="20"/>
              </w:rPr>
              <w:tab/>
              <w:t>—</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color w:val="000000"/>
                <w:sz w:val="20"/>
              </w:rPr>
              <w:tab/>
              <w:t>42.3</w:t>
            </w:r>
            <w:r>
              <w:rPr>
                <w:color w:val="000000"/>
                <w:sz w:val="20"/>
              </w:rPr>
              <w:tab/>
            </w:r>
          </w:p>
        </w:tc>
      </w:tr>
      <w:tr w:rsidR="00DE25E4">
        <w:trPr>
          <w:cantSplit/>
          <w:trHeight w:hRule="exact" w:val="300"/>
          <w:jc w:val="center"/>
        </w:trPr>
        <w:tc>
          <w:tcPr>
            <w:tcW w:w="5490"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Non-recurring items:</w:t>
            </w:r>
          </w:p>
        </w:tc>
        <w:tc>
          <w:tcPr>
            <w:tcW w:w="126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r>
      <w:tr w:rsidR="00DE25E4">
        <w:trPr>
          <w:cantSplit/>
          <w:trHeight w:hRule="exact" w:val="300"/>
          <w:jc w:val="center"/>
        </w:trPr>
        <w:tc>
          <w:tcPr>
            <w:tcW w:w="5490"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ind w:left="135"/>
            </w:pPr>
            <w:r>
              <w:rPr>
                <w:color w:val="000000"/>
                <w:sz w:val="20"/>
              </w:rPr>
              <w:t>Malvern fire insurance recoveries, net of charges</w:t>
            </w: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691"/>
              </w:tabs>
              <w:spacing w:before="75" w:after="30"/>
              <w:jc w:val="right"/>
            </w:pPr>
            <w:r>
              <w:rPr>
                <w:b/>
                <w:color w:val="000000"/>
                <w:sz w:val="20"/>
              </w:rPr>
              <w:tab/>
              <w:t>(32.7)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791"/>
              </w:tabs>
              <w:spacing w:before="75" w:after="30"/>
              <w:jc w:val="right"/>
            </w:pPr>
            <w:r>
              <w:rPr>
                <w:color w:val="000000"/>
                <w:sz w:val="20"/>
              </w:rPr>
              <w:tab/>
              <w:t>(0.3)</w:t>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691"/>
              </w:tabs>
              <w:spacing w:before="75" w:after="30"/>
              <w:jc w:val="right"/>
            </w:pPr>
            <w:r>
              <w:rPr>
                <w:b/>
                <w:color w:val="000000"/>
                <w:sz w:val="20"/>
              </w:rPr>
              <w:tab/>
              <w:t>(39.1)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691"/>
              </w:tabs>
              <w:spacing w:before="75" w:after="30"/>
              <w:jc w:val="right"/>
            </w:pPr>
            <w:r>
              <w:rPr>
                <w:color w:val="000000"/>
                <w:sz w:val="20"/>
              </w:rPr>
              <w:tab/>
              <w:t>(11.4)</w:t>
            </w:r>
          </w:p>
        </w:tc>
      </w:tr>
      <w:tr w:rsidR="00DE25E4">
        <w:trPr>
          <w:cantSplit/>
          <w:trHeight w:hRule="exact" w:val="300"/>
          <w:jc w:val="center"/>
        </w:trPr>
        <w:tc>
          <w:tcPr>
            <w:tcW w:w="5490"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ind w:left="135"/>
            </w:pPr>
            <w:r>
              <w:rPr>
                <w:color w:val="000000"/>
                <w:sz w:val="20"/>
              </w:rPr>
              <w:t>Acquisition-related fair value inventory adjustment</w:t>
            </w: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b/>
                <w:color w:val="000000"/>
                <w:sz w:val="20"/>
              </w:rPr>
              <w:tab/>
              <w:t>—</w:t>
            </w:r>
            <w:r>
              <w:rPr>
                <w:b/>
                <w:color w:val="000000"/>
                <w:sz w:val="20"/>
              </w:rPr>
              <w:tab/>
            </w:r>
          </w:p>
        </w:tc>
        <w:tc>
          <w:tcPr>
            <w:tcW w:w="7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DE25E4">
            <w:pPr>
              <w:keepNext/>
              <w:spacing w:before="75" w:after="30"/>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color w:val="000000"/>
                <w:sz w:val="20"/>
              </w:rPr>
              <w:tab/>
              <w:t>—</w:t>
            </w:r>
            <w:r>
              <w:rPr>
                <w:color w:val="000000"/>
                <w:sz w:val="20"/>
              </w:rPr>
              <w:tab/>
            </w:r>
          </w:p>
        </w:tc>
        <w:tc>
          <w:tcPr>
            <w:tcW w:w="120"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DE25E4">
            <w:pPr>
              <w:keepNext/>
              <w:spacing w:before="75" w:after="30"/>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877"/>
                <w:tab w:val="left" w:pos="1192"/>
              </w:tabs>
              <w:spacing w:before="75" w:after="30"/>
              <w:jc w:val="right"/>
            </w:pPr>
            <w:r>
              <w:rPr>
                <w:b/>
                <w:color w:val="000000"/>
                <w:sz w:val="20"/>
              </w:rPr>
              <w:tab/>
              <w:t>5.0</w:t>
            </w:r>
            <w:r>
              <w:rPr>
                <w:b/>
                <w:color w:val="000000"/>
                <w:sz w:val="20"/>
              </w:rPr>
              <w:tab/>
            </w:r>
          </w:p>
        </w:tc>
        <w:tc>
          <w:tcPr>
            <w:tcW w:w="7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DE25E4">
            <w:pPr>
              <w:keepNext/>
              <w:spacing w:before="75" w:after="30"/>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color w:val="000000"/>
                <w:sz w:val="20"/>
              </w:rPr>
              <w:tab/>
              <w:t>—</w:t>
            </w:r>
            <w:r>
              <w:rPr>
                <w:color w:val="000000"/>
                <w:sz w:val="20"/>
              </w:rPr>
              <w:tab/>
            </w:r>
          </w:p>
        </w:tc>
      </w:tr>
      <w:tr w:rsidR="00DE25E4">
        <w:trPr>
          <w:cantSplit/>
          <w:trHeight w:hRule="exact" w:val="300"/>
          <w:jc w:val="center"/>
        </w:trPr>
        <w:tc>
          <w:tcPr>
            <w:tcW w:w="5490"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ind w:left="135"/>
            </w:pPr>
            <w:r>
              <w:rPr>
                <w:color w:val="000000"/>
                <w:sz w:val="20"/>
              </w:rPr>
              <w:t xml:space="preserve">Gain on </w:t>
            </w:r>
            <w:r>
              <w:rPr>
                <w:color w:val="000000"/>
                <w:sz w:val="20"/>
              </w:rPr>
              <w:t>bargain purchase of business</w:t>
            </w: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791"/>
              </w:tabs>
              <w:spacing w:before="75" w:after="30"/>
              <w:jc w:val="right"/>
            </w:pPr>
            <w:r>
              <w:rPr>
                <w:b/>
                <w:color w:val="000000"/>
                <w:sz w:val="20"/>
              </w:rPr>
              <w:tab/>
              <w:t>(0.6)</w:t>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DE25E4">
            <w:pPr>
              <w:keepNext/>
              <w:spacing w:before="75" w:after="30"/>
              <w:jc w:val="righ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color w:val="000000"/>
                <w:sz w:val="20"/>
              </w:rPr>
              <w:tab/>
              <w:t>—</w:t>
            </w:r>
            <w:r>
              <w:rPr>
                <w:color w:val="000000"/>
                <w:sz w:val="20"/>
              </w:rPr>
              <w:tab/>
            </w:r>
          </w:p>
        </w:tc>
        <w:tc>
          <w:tcPr>
            <w:tcW w:w="12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DE25E4">
            <w:pPr>
              <w:keepNext/>
              <w:spacing w:before="75" w:after="30"/>
              <w:jc w:val="righ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691"/>
              </w:tabs>
              <w:spacing w:before="75" w:after="30"/>
              <w:jc w:val="right"/>
            </w:pPr>
            <w:r>
              <w:rPr>
                <w:b/>
                <w:color w:val="000000"/>
                <w:sz w:val="20"/>
              </w:rPr>
              <w:tab/>
              <w:t>(13.6)</w:t>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DE25E4">
            <w:pPr>
              <w:keepNext/>
              <w:spacing w:before="75" w:after="30"/>
              <w:jc w:val="righ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color w:val="000000"/>
                <w:sz w:val="20"/>
              </w:rPr>
              <w:tab/>
              <w:t>—</w:t>
            </w:r>
            <w:r>
              <w:rPr>
                <w:color w:val="000000"/>
                <w:sz w:val="20"/>
              </w:rPr>
              <w:tab/>
            </w:r>
          </w:p>
        </w:tc>
      </w:tr>
      <w:tr w:rsidR="00DE25E4">
        <w:trPr>
          <w:cantSplit/>
          <w:trHeight w:hRule="exact" w:val="300"/>
          <w:jc w:val="center"/>
        </w:trPr>
        <w:tc>
          <w:tcPr>
            <w:tcW w:w="5490"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spacing w:before="55" w:after="30"/>
            </w:pPr>
            <w:r>
              <w:rPr>
                <w:b/>
                <w:color w:val="000000"/>
                <w:sz w:val="20"/>
              </w:rPr>
              <w:t>Adjusted EBITDA</w:t>
            </w:r>
          </w:p>
        </w:tc>
        <w:tc>
          <w:tcPr>
            <w:tcW w:w="126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DE25E4" w:rsidRDefault="00AD30C9">
            <w:pPr>
              <w:tabs>
                <w:tab w:val="left" w:pos="677"/>
                <w:tab w:val="left" w:pos="1192"/>
              </w:tabs>
              <w:spacing w:before="55" w:after="30"/>
              <w:jc w:val="right"/>
            </w:pPr>
            <w:r>
              <w:rPr>
                <w:b/>
                <w:color w:val="000000"/>
                <w:sz w:val="20"/>
              </w:rPr>
              <w:t>$</w:t>
            </w:r>
            <w:r>
              <w:rPr>
                <w:b/>
                <w:color w:val="000000"/>
                <w:sz w:val="20"/>
              </w:rPr>
              <w:tab/>
              <w:t>157.7</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tc>
        <w:tc>
          <w:tcPr>
            <w:tcW w:w="126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DE25E4" w:rsidRDefault="00AD30C9">
            <w:pPr>
              <w:tabs>
                <w:tab w:val="left" w:pos="677"/>
                <w:tab w:val="left" w:pos="1192"/>
              </w:tabs>
              <w:spacing w:before="55" w:after="30"/>
              <w:jc w:val="right"/>
            </w:pPr>
            <w:r>
              <w:rPr>
                <w:color w:val="000000"/>
                <w:sz w:val="20"/>
              </w:rPr>
              <w:t>$</w:t>
            </w:r>
            <w:r>
              <w:rPr>
                <w:color w:val="000000"/>
                <w:sz w:val="20"/>
              </w:rPr>
              <w:tab/>
              <w:t>164.6</w:t>
            </w:r>
            <w:r>
              <w:rPr>
                <w:color w:val="000000"/>
                <w:sz w:val="20"/>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tc>
        <w:tc>
          <w:tcPr>
            <w:tcW w:w="126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DE25E4" w:rsidRDefault="00AD30C9">
            <w:pPr>
              <w:tabs>
                <w:tab w:val="left" w:pos="677"/>
                <w:tab w:val="left" w:pos="1192"/>
              </w:tabs>
              <w:spacing w:before="55" w:after="30"/>
              <w:jc w:val="right"/>
            </w:pPr>
            <w:r>
              <w:rPr>
                <w:b/>
                <w:color w:val="000000"/>
                <w:sz w:val="20"/>
              </w:rPr>
              <w:t>$</w:t>
            </w:r>
            <w:r>
              <w:rPr>
                <w:b/>
                <w:color w:val="000000"/>
                <w:sz w:val="20"/>
              </w:rPr>
              <w:tab/>
              <w:t>747.3</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tc>
        <w:tc>
          <w:tcPr>
            <w:tcW w:w="126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DE25E4" w:rsidRDefault="00AD30C9">
            <w:pPr>
              <w:tabs>
                <w:tab w:val="left" w:pos="677"/>
                <w:tab w:val="left" w:pos="1192"/>
              </w:tabs>
              <w:spacing w:before="55" w:after="30"/>
              <w:jc w:val="right"/>
            </w:pPr>
            <w:r>
              <w:rPr>
                <w:color w:val="000000"/>
                <w:sz w:val="20"/>
              </w:rPr>
              <w:t>$</w:t>
            </w:r>
            <w:r>
              <w:rPr>
                <w:color w:val="000000"/>
                <w:sz w:val="20"/>
              </w:rPr>
              <w:tab/>
              <w:t>833.3</w:t>
            </w:r>
            <w:r>
              <w:rPr>
                <w:color w:val="000000"/>
                <w:sz w:val="20"/>
              </w:rPr>
              <w:tab/>
            </w:r>
          </w:p>
        </w:tc>
      </w:tr>
    </w:tbl>
    <w:p w:rsidR="00DE25E4" w:rsidRDefault="00DE25E4">
      <w:pPr>
        <w:spacing w:before="180" w:after="180" w:line="288" w:lineRule="auto"/>
        <w:jc w:val="center"/>
        <w:rPr>
          <w:b/>
          <w:sz w:val="20"/>
        </w:rPr>
      </w:pPr>
    </w:p>
    <w:p w:rsidR="00DE25E4" w:rsidRDefault="00AD30C9">
      <w:pPr>
        <w:spacing w:line="288" w:lineRule="auto"/>
        <w:jc w:val="center"/>
        <w:rPr>
          <w:b/>
          <w:sz w:val="20"/>
        </w:rPr>
      </w:pPr>
      <w:r>
        <w:rPr>
          <w:b/>
          <w:sz w:val="20"/>
        </w:rPr>
        <w:t>Adjusted earnings (loss) per share</w:t>
      </w:r>
      <w:r>
        <w:rPr>
          <w:b/>
          <w:sz w:val="16"/>
          <w:vertAlign w:val="superscript"/>
        </w:rPr>
        <w:t>(b)</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0"/>
        <w:gridCol w:w="1260"/>
        <w:gridCol w:w="75"/>
        <w:gridCol w:w="1260"/>
        <w:gridCol w:w="120"/>
        <w:gridCol w:w="1260"/>
        <w:gridCol w:w="75"/>
        <w:gridCol w:w="1260"/>
      </w:tblGrid>
      <w:tr w:rsidR="00DE25E4">
        <w:trPr>
          <w:cantSplit/>
          <w:trHeight w:hRule="exact" w:val="300"/>
          <w:jc w:val="center"/>
        </w:trPr>
        <w:tc>
          <w:tcPr>
            <w:tcW w:w="549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2595" w:type="dxa"/>
            <w:gridSpan w:val="3"/>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jc w:val="center"/>
            </w:pPr>
            <w:r>
              <w:rPr>
                <w:b/>
                <w:color w:val="000000"/>
                <w:sz w:val="20"/>
              </w:rPr>
              <w:t xml:space="preserve">Three Months Ended </w:t>
            </w:r>
          </w:p>
        </w:tc>
        <w:tc>
          <w:tcPr>
            <w:tcW w:w="12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2595" w:type="dxa"/>
            <w:gridSpan w:val="3"/>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jc w:val="center"/>
            </w:pPr>
            <w:r>
              <w:rPr>
                <w:b/>
                <w:color w:val="000000"/>
                <w:sz w:val="20"/>
              </w:rPr>
              <w:t>Twelve Months Ended</w:t>
            </w:r>
          </w:p>
        </w:tc>
      </w:tr>
      <w:tr w:rsidR="00DE25E4">
        <w:trPr>
          <w:cantSplit/>
          <w:trHeight w:hRule="exact" w:val="240"/>
          <w:jc w:val="center"/>
        </w:trPr>
        <w:tc>
          <w:tcPr>
            <w:tcW w:w="5490" w:type="dxa"/>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pPr>
            <w:r>
              <w:rPr>
                <w:color w:val="000000"/>
                <w:sz w:val="20"/>
              </w:rPr>
              <w:t> </w:t>
            </w:r>
          </w:p>
        </w:tc>
        <w:tc>
          <w:tcPr>
            <w:tcW w:w="2595" w:type="dxa"/>
            <w:gridSpan w:val="3"/>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jc w:val="center"/>
            </w:pPr>
            <w:r>
              <w:rPr>
                <w:b/>
                <w:color w:val="000000"/>
                <w:sz w:val="20"/>
              </w:rPr>
              <w:t>December 31,</w:t>
            </w:r>
          </w:p>
        </w:tc>
        <w:tc>
          <w:tcPr>
            <w:tcW w:w="12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2595" w:type="dxa"/>
            <w:gridSpan w:val="3"/>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jc w:val="center"/>
            </w:pPr>
            <w:r>
              <w:rPr>
                <w:b/>
                <w:color w:val="000000"/>
                <w:sz w:val="20"/>
              </w:rPr>
              <w:t>December 31,</w:t>
            </w:r>
          </w:p>
        </w:tc>
      </w:tr>
      <w:tr w:rsidR="00DE25E4">
        <w:trPr>
          <w:cantSplit/>
          <w:trHeight w:hRule="exact" w:val="255"/>
          <w:jc w:val="center"/>
        </w:trPr>
        <w:tc>
          <w:tcPr>
            <w:tcW w:w="549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single" w:sz="8" w:space="0" w:color="000000"/>
              <w:right w:val="nil"/>
            </w:tcBorders>
            <w:tcMar>
              <w:top w:w="0" w:type="dxa"/>
              <w:left w:w="53" w:type="dxa"/>
              <w:bottom w:w="0" w:type="dxa"/>
              <w:right w:w="53" w:type="dxa"/>
            </w:tcMar>
            <w:vAlign w:val="bottom"/>
          </w:tcPr>
          <w:p w:rsidR="00DE25E4" w:rsidRDefault="00AD30C9">
            <w:pPr>
              <w:keepNext/>
              <w:spacing w:before="55" w:after="30"/>
              <w:jc w:val="center"/>
            </w:pPr>
            <w:r>
              <w:rPr>
                <w:b/>
                <w:color w:val="000000"/>
                <w:sz w:val="20"/>
              </w:rPr>
              <w:t>2022</w:t>
            </w:r>
          </w:p>
        </w:tc>
        <w:tc>
          <w:tcPr>
            <w:tcW w:w="75" w:type="dxa"/>
            <w:tcBorders>
              <w:top w:val="single" w:sz="8" w:space="0" w:color="000000"/>
              <w:left w:val="nil"/>
              <w:bottom w:val="nil"/>
              <w:right w:val="nil"/>
            </w:tcBorders>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single" w:sz="8" w:space="0" w:color="000000"/>
              <w:right w:val="nil"/>
            </w:tcBorders>
            <w:tcMar>
              <w:top w:w="0" w:type="dxa"/>
              <w:left w:w="53" w:type="dxa"/>
              <w:bottom w:w="0" w:type="dxa"/>
              <w:right w:w="53" w:type="dxa"/>
            </w:tcMar>
            <w:vAlign w:val="bottom"/>
          </w:tcPr>
          <w:p w:rsidR="00DE25E4" w:rsidRDefault="00AD30C9">
            <w:pPr>
              <w:keepNext/>
              <w:spacing w:before="55" w:after="30"/>
              <w:jc w:val="center"/>
            </w:pPr>
            <w:r>
              <w:rPr>
                <w:b/>
                <w:color w:val="000000"/>
                <w:sz w:val="20"/>
              </w:rPr>
              <w:t>2021</w:t>
            </w:r>
          </w:p>
        </w:tc>
        <w:tc>
          <w:tcPr>
            <w:tcW w:w="120"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single" w:sz="8" w:space="0" w:color="000000"/>
              <w:right w:val="nil"/>
            </w:tcBorders>
            <w:tcMar>
              <w:top w:w="0" w:type="dxa"/>
              <w:left w:w="53" w:type="dxa"/>
              <w:bottom w:w="0" w:type="dxa"/>
              <w:right w:w="53" w:type="dxa"/>
            </w:tcMar>
            <w:vAlign w:val="bottom"/>
          </w:tcPr>
          <w:p w:rsidR="00DE25E4" w:rsidRDefault="00AD30C9">
            <w:pPr>
              <w:keepNext/>
              <w:spacing w:before="55" w:after="30"/>
              <w:jc w:val="center"/>
            </w:pPr>
            <w:r>
              <w:rPr>
                <w:b/>
                <w:color w:val="000000"/>
                <w:sz w:val="20"/>
              </w:rPr>
              <w:t>2022</w:t>
            </w:r>
          </w:p>
        </w:tc>
        <w:tc>
          <w:tcPr>
            <w:tcW w:w="75" w:type="dxa"/>
            <w:tcBorders>
              <w:top w:val="single" w:sz="8" w:space="0" w:color="000000"/>
              <w:left w:val="nil"/>
              <w:bottom w:val="nil"/>
              <w:right w:val="nil"/>
            </w:tcBorders>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single" w:sz="8" w:space="0" w:color="000000"/>
              <w:right w:val="nil"/>
            </w:tcBorders>
            <w:tcMar>
              <w:top w:w="0" w:type="dxa"/>
              <w:left w:w="53" w:type="dxa"/>
              <w:bottom w:w="0" w:type="dxa"/>
              <w:right w:w="53" w:type="dxa"/>
            </w:tcMar>
            <w:vAlign w:val="bottom"/>
          </w:tcPr>
          <w:p w:rsidR="00DE25E4" w:rsidRDefault="00AD30C9">
            <w:pPr>
              <w:keepNext/>
              <w:spacing w:before="55" w:after="30"/>
              <w:jc w:val="center"/>
            </w:pPr>
            <w:r>
              <w:rPr>
                <w:b/>
                <w:color w:val="000000"/>
                <w:sz w:val="20"/>
              </w:rPr>
              <w:t>2021</w:t>
            </w:r>
          </w:p>
        </w:tc>
      </w:tr>
      <w:tr w:rsidR="00DE25E4">
        <w:trPr>
          <w:cantSplit/>
          <w:trHeight w:hRule="exact" w:val="300"/>
          <w:jc w:val="center"/>
        </w:trPr>
        <w:tc>
          <w:tcPr>
            <w:tcW w:w="5490"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55" w:after="30"/>
            </w:pPr>
            <w:r>
              <w:rPr>
                <w:color w:val="000000"/>
                <w:sz w:val="20"/>
              </w:rPr>
              <w:t>Diluted earnings (loss) per share</w:t>
            </w:r>
          </w:p>
        </w:tc>
        <w:tc>
          <w:tcPr>
            <w:tcW w:w="12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77"/>
                <w:tab w:val="left" w:pos="1192"/>
              </w:tabs>
              <w:spacing w:before="55" w:after="30"/>
              <w:jc w:val="right"/>
            </w:pPr>
            <w:r>
              <w:rPr>
                <w:b/>
                <w:color w:val="000000"/>
                <w:sz w:val="20"/>
              </w:rPr>
              <w:t>$</w:t>
            </w:r>
            <w:r>
              <w:rPr>
                <w:b/>
                <w:color w:val="000000"/>
                <w:sz w:val="20"/>
              </w:rPr>
              <w:tab/>
              <w:t>0.11</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91"/>
              </w:tabs>
              <w:spacing w:before="55" w:after="30"/>
              <w:jc w:val="right"/>
            </w:pPr>
            <w:r>
              <w:rPr>
                <w:color w:val="000000"/>
                <w:sz w:val="20"/>
              </w:rPr>
              <w:t>$</w:t>
            </w:r>
            <w:r>
              <w:rPr>
                <w:color w:val="000000"/>
                <w:sz w:val="20"/>
              </w:rPr>
              <w:tab/>
              <w:t>(0.41)</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77"/>
                <w:tab w:val="left" w:pos="1192"/>
              </w:tabs>
              <w:spacing w:before="55" w:after="30"/>
              <w:jc w:val="right"/>
            </w:pPr>
            <w:r>
              <w:rPr>
                <w:b/>
                <w:color w:val="000000"/>
                <w:sz w:val="20"/>
              </w:rPr>
              <w:t>$</w:t>
            </w:r>
            <w:r>
              <w:rPr>
                <w:b/>
                <w:color w:val="000000"/>
                <w:sz w:val="20"/>
              </w:rPr>
              <w:tab/>
              <w:t>0.53</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77"/>
                <w:tab w:val="left" w:pos="1192"/>
              </w:tabs>
              <w:spacing w:before="55" w:after="30"/>
              <w:jc w:val="right"/>
            </w:pPr>
            <w:r>
              <w:rPr>
                <w:color w:val="000000"/>
                <w:sz w:val="20"/>
              </w:rPr>
              <w:t>$</w:t>
            </w:r>
            <w:r>
              <w:rPr>
                <w:color w:val="000000"/>
                <w:sz w:val="20"/>
              </w:rPr>
              <w:tab/>
              <w:t>0.05</w:t>
            </w:r>
            <w:r>
              <w:rPr>
                <w:color w:val="000000"/>
                <w:sz w:val="20"/>
              </w:rPr>
              <w:tab/>
            </w:r>
          </w:p>
        </w:tc>
      </w:tr>
      <w:tr w:rsidR="00DE25E4">
        <w:trPr>
          <w:cantSplit/>
          <w:trHeight w:hRule="exact" w:val="300"/>
          <w:jc w:val="center"/>
        </w:trPr>
        <w:tc>
          <w:tcPr>
            <w:tcW w:w="5490"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Restructuring and acquisition-related costs</w:t>
            </w: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b/>
                <w:color w:val="000000"/>
                <w:sz w:val="20"/>
              </w:rPr>
              <w:tab/>
              <w:t>0.03</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color w:val="000000"/>
                <w:sz w:val="20"/>
              </w:rPr>
              <w:tab/>
              <w:t>0.08</w:t>
            </w:r>
            <w:r>
              <w:rPr>
                <w:color w:val="000000"/>
                <w:sz w:val="20"/>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b/>
                <w:color w:val="000000"/>
                <w:sz w:val="20"/>
              </w:rPr>
              <w:tab/>
              <w:t>0.25</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color w:val="000000"/>
                <w:sz w:val="20"/>
              </w:rPr>
              <w:tab/>
              <w:t>0.42</w:t>
            </w:r>
            <w:r>
              <w:rPr>
                <w:color w:val="000000"/>
                <w:sz w:val="20"/>
              </w:rPr>
              <w:tab/>
            </w:r>
          </w:p>
        </w:tc>
      </w:tr>
      <w:tr w:rsidR="00DE25E4">
        <w:trPr>
          <w:cantSplit/>
          <w:trHeight w:hRule="exact" w:val="300"/>
          <w:jc w:val="center"/>
        </w:trPr>
        <w:tc>
          <w:tcPr>
            <w:tcW w:w="5490"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Debt refinancing and redemption costs</w:t>
            </w: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b/>
                <w:color w:val="000000"/>
                <w:sz w:val="20"/>
              </w:rPr>
              <w:tab/>
              <w:t>—</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color w:val="000000"/>
                <w:sz w:val="20"/>
              </w:rPr>
              <w:tab/>
              <w:t>—</w:t>
            </w:r>
            <w:r>
              <w:rPr>
                <w:color w:val="000000"/>
                <w:sz w:val="20"/>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b/>
                <w:color w:val="000000"/>
                <w:sz w:val="20"/>
              </w:rPr>
              <w:tab/>
              <w:t>0.05</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color w:val="000000"/>
                <w:sz w:val="20"/>
              </w:rPr>
              <w:tab/>
              <w:t>0.29</w:t>
            </w:r>
            <w:r>
              <w:rPr>
                <w:color w:val="000000"/>
                <w:sz w:val="20"/>
              </w:rPr>
              <w:tab/>
            </w:r>
          </w:p>
        </w:tc>
      </w:tr>
      <w:tr w:rsidR="00DE25E4">
        <w:trPr>
          <w:cantSplit/>
          <w:trHeight w:hRule="exact" w:val="300"/>
          <w:jc w:val="center"/>
        </w:trPr>
        <w:tc>
          <w:tcPr>
            <w:tcW w:w="5490"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Loss on sale of business</w:t>
            </w: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b/>
                <w:color w:val="000000"/>
                <w:sz w:val="20"/>
              </w:rPr>
              <w:tab/>
              <w:t>—</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color w:val="000000"/>
                <w:sz w:val="20"/>
              </w:rPr>
              <w:tab/>
            </w:r>
            <w:r>
              <w:rPr>
                <w:color w:val="000000"/>
                <w:sz w:val="20"/>
              </w:rPr>
              <w:t>—</w:t>
            </w:r>
            <w:r>
              <w:rPr>
                <w:color w:val="000000"/>
                <w:sz w:val="20"/>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b/>
                <w:color w:val="000000"/>
                <w:sz w:val="20"/>
              </w:rPr>
              <w:tab/>
              <w:t>—</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color w:val="000000"/>
                <w:sz w:val="20"/>
              </w:rPr>
              <w:tab/>
              <w:t>0.02</w:t>
            </w:r>
            <w:r>
              <w:rPr>
                <w:color w:val="000000"/>
                <w:sz w:val="20"/>
              </w:rPr>
              <w:tab/>
            </w:r>
          </w:p>
        </w:tc>
      </w:tr>
      <w:tr w:rsidR="00DE25E4">
        <w:trPr>
          <w:cantSplit/>
          <w:trHeight w:hRule="exact" w:val="300"/>
          <w:jc w:val="center"/>
        </w:trPr>
        <w:tc>
          <w:tcPr>
            <w:tcW w:w="5490"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Unrealized loss (gain) on equity securities</w:t>
            </w: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b/>
                <w:color w:val="000000"/>
                <w:sz w:val="20"/>
              </w:rPr>
              <w:tab/>
              <w:t>0.01</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91"/>
              </w:tabs>
              <w:spacing w:before="75" w:after="30"/>
              <w:jc w:val="right"/>
            </w:pPr>
            <w:r>
              <w:rPr>
                <w:color w:val="000000"/>
                <w:sz w:val="20"/>
              </w:rPr>
              <w:tab/>
              <w:t>(0.04)</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b/>
                <w:color w:val="000000"/>
                <w:sz w:val="20"/>
              </w:rPr>
              <w:tab/>
              <w:t>0.21</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91"/>
              </w:tabs>
              <w:spacing w:before="75" w:after="30"/>
              <w:jc w:val="right"/>
            </w:pPr>
            <w:r>
              <w:rPr>
                <w:color w:val="000000"/>
                <w:sz w:val="20"/>
              </w:rPr>
              <w:tab/>
              <w:t>(0.21)</w:t>
            </w:r>
          </w:p>
        </w:tc>
      </w:tr>
      <w:tr w:rsidR="00DE25E4">
        <w:trPr>
          <w:cantSplit/>
          <w:trHeight w:hRule="exact" w:val="300"/>
          <w:jc w:val="center"/>
        </w:trPr>
        <w:tc>
          <w:tcPr>
            <w:tcW w:w="5490"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Pension settlements</w:t>
            </w: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b/>
                <w:color w:val="000000"/>
                <w:sz w:val="20"/>
              </w:rPr>
              <w:tab/>
              <w:t>—</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color w:val="000000"/>
                <w:sz w:val="20"/>
              </w:rPr>
              <w:tab/>
              <w:t>0.36</w:t>
            </w:r>
            <w:r>
              <w:rPr>
                <w:color w:val="000000"/>
                <w:sz w:val="20"/>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b/>
                <w:color w:val="000000"/>
                <w:sz w:val="20"/>
              </w:rPr>
              <w:tab/>
              <w:t>—</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color w:val="000000"/>
                <w:sz w:val="20"/>
              </w:rPr>
              <w:tab/>
              <w:t>0.36</w:t>
            </w:r>
            <w:r>
              <w:rPr>
                <w:color w:val="000000"/>
                <w:sz w:val="20"/>
              </w:rPr>
              <w:tab/>
            </w:r>
          </w:p>
        </w:tc>
      </w:tr>
      <w:tr w:rsidR="00DE25E4">
        <w:trPr>
          <w:cantSplit/>
          <w:trHeight w:hRule="exact" w:val="300"/>
          <w:jc w:val="center"/>
        </w:trPr>
        <w:tc>
          <w:tcPr>
            <w:tcW w:w="5490"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rPr>
                <w:sz w:val="20"/>
              </w:rPr>
            </w:pPr>
            <w:r>
              <w:rPr>
                <w:sz w:val="20"/>
              </w:rPr>
              <w:t>Accelerated depreciation</w:t>
            </w:r>
            <w:r>
              <w:rPr>
                <w:sz w:val="20"/>
                <w:vertAlign w:val="superscript"/>
              </w:rPr>
              <w:t>(c)</w:t>
            </w: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b/>
                <w:color w:val="000000"/>
                <w:sz w:val="20"/>
              </w:rPr>
              <w:tab/>
              <w:t>—</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color w:val="000000"/>
                <w:sz w:val="20"/>
              </w:rPr>
              <w:tab/>
              <w:t>—</w:t>
            </w:r>
            <w:r>
              <w:rPr>
                <w:color w:val="000000"/>
                <w:sz w:val="20"/>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b/>
                <w:color w:val="000000"/>
                <w:sz w:val="20"/>
              </w:rPr>
              <w:tab/>
              <w:t>—</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color w:val="000000"/>
                <w:sz w:val="20"/>
              </w:rPr>
              <w:tab/>
              <w:t>0.27</w:t>
            </w:r>
            <w:r>
              <w:rPr>
                <w:color w:val="000000"/>
                <w:sz w:val="20"/>
              </w:rPr>
              <w:tab/>
            </w:r>
          </w:p>
        </w:tc>
      </w:tr>
      <w:tr w:rsidR="00DE25E4">
        <w:trPr>
          <w:cantSplit/>
          <w:trHeight w:hRule="exact" w:val="300"/>
          <w:jc w:val="center"/>
        </w:trPr>
        <w:tc>
          <w:tcPr>
            <w:tcW w:w="5490"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Non-recurring items:</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r>
      <w:tr w:rsidR="00DE25E4">
        <w:trPr>
          <w:cantSplit/>
          <w:trHeight w:hRule="exact" w:val="300"/>
          <w:jc w:val="center"/>
        </w:trPr>
        <w:tc>
          <w:tcPr>
            <w:tcW w:w="5490"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ind w:left="225"/>
            </w:pPr>
            <w:r>
              <w:rPr>
                <w:color w:val="000000"/>
                <w:sz w:val="20"/>
              </w:rPr>
              <w:t xml:space="preserve">Malvern fire insurance </w:t>
            </w:r>
            <w:r>
              <w:rPr>
                <w:color w:val="000000"/>
                <w:sz w:val="20"/>
              </w:rPr>
              <w:t>recoveries, net of charges</w:t>
            </w: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91"/>
              </w:tabs>
              <w:spacing w:before="75" w:after="30"/>
              <w:jc w:val="right"/>
            </w:pPr>
            <w:r>
              <w:rPr>
                <w:b/>
                <w:color w:val="000000"/>
                <w:sz w:val="20"/>
              </w:rPr>
              <w:tab/>
              <w:t>(0.26)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907"/>
                <w:tab w:val="left" w:pos="1172"/>
              </w:tabs>
              <w:spacing w:before="75" w:after="30"/>
              <w:jc w:val="right"/>
            </w:pPr>
            <w:r>
              <w:rPr>
                <w:color w:val="000000"/>
                <w:sz w:val="20"/>
              </w:rPr>
              <w:tab/>
              <w:t>—</w:t>
            </w:r>
            <w:r>
              <w:rPr>
                <w:color w:val="000000"/>
                <w:sz w:val="20"/>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91"/>
              </w:tabs>
              <w:spacing w:before="75" w:after="30"/>
              <w:jc w:val="right"/>
            </w:pPr>
            <w:r>
              <w:rPr>
                <w:b/>
                <w:color w:val="000000"/>
                <w:sz w:val="20"/>
              </w:rPr>
              <w:tab/>
              <w:t>(0.32)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91"/>
              </w:tabs>
              <w:spacing w:before="75" w:after="30"/>
              <w:jc w:val="right"/>
            </w:pPr>
            <w:r>
              <w:rPr>
                <w:color w:val="000000"/>
                <w:sz w:val="20"/>
              </w:rPr>
              <w:tab/>
              <w:t>(0.10)</w:t>
            </w:r>
          </w:p>
        </w:tc>
      </w:tr>
      <w:tr w:rsidR="00DE25E4">
        <w:trPr>
          <w:cantSplit/>
          <w:trHeight w:hRule="exact" w:val="300"/>
          <w:jc w:val="center"/>
        </w:trPr>
        <w:tc>
          <w:tcPr>
            <w:tcW w:w="5490"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ind w:left="225"/>
            </w:pPr>
            <w:r>
              <w:rPr>
                <w:color w:val="000000"/>
                <w:sz w:val="20"/>
              </w:rPr>
              <w:t>Gain on bargain purchase of business</w:t>
            </w: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691"/>
              </w:tabs>
              <w:spacing w:before="75" w:after="30"/>
              <w:jc w:val="right"/>
            </w:pPr>
            <w:r>
              <w:rPr>
                <w:b/>
                <w:color w:val="000000"/>
                <w:sz w:val="20"/>
              </w:rPr>
              <w:tab/>
              <w:t>(0.01)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color w:val="000000"/>
                <w:sz w:val="20"/>
              </w:rPr>
              <w:tab/>
              <w:t>—</w:t>
            </w:r>
            <w:r>
              <w:rPr>
                <w:color w:val="000000"/>
                <w:sz w:val="20"/>
              </w:rPr>
              <w:tab/>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691"/>
              </w:tabs>
              <w:spacing w:before="75" w:after="30"/>
              <w:jc w:val="right"/>
            </w:pPr>
            <w:r>
              <w:rPr>
                <w:b/>
                <w:color w:val="000000"/>
                <w:sz w:val="20"/>
              </w:rPr>
              <w:tab/>
              <w:t>(0.11)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color w:val="000000"/>
                <w:sz w:val="20"/>
              </w:rPr>
              <w:tab/>
              <w:t>—</w:t>
            </w:r>
            <w:r>
              <w:rPr>
                <w:color w:val="000000"/>
                <w:sz w:val="20"/>
              </w:rPr>
              <w:tab/>
            </w:r>
          </w:p>
        </w:tc>
      </w:tr>
      <w:tr w:rsidR="00DE25E4">
        <w:trPr>
          <w:cantSplit/>
          <w:trHeight w:hRule="exact" w:val="345"/>
          <w:jc w:val="center"/>
        </w:trPr>
        <w:tc>
          <w:tcPr>
            <w:tcW w:w="5490"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ind w:left="240"/>
            </w:pPr>
            <w:r>
              <w:rPr>
                <w:color w:val="000000"/>
                <w:sz w:val="20"/>
              </w:rPr>
              <w:t>Acquisition-related fair value inventory adjustment</w:t>
            </w: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color w:val="000000"/>
                <w:sz w:val="20"/>
              </w:rPr>
              <w:tab/>
              <w:t>—</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color w:val="000000"/>
                <w:sz w:val="20"/>
              </w:rPr>
              <w:tab/>
              <w:t>—</w:t>
            </w:r>
            <w:r>
              <w:rPr>
                <w:color w:val="000000"/>
                <w:sz w:val="20"/>
              </w:rPr>
              <w:tab/>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b/>
                <w:color w:val="000000"/>
                <w:sz w:val="20"/>
              </w:rPr>
              <w:tab/>
              <w:t>0.04</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927"/>
                <w:tab w:val="left" w:pos="1192"/>
              </w:tabs>
              <w:spacing w:before="75" w:after="30"/>
              <w:jc w:val="right"/>
            </w:pPr>
            <w:r>
              <w:rPr>
                <w:color w:val="000000"/>
                <w:sz w:val="20"/>
              </w:rPr>
              <w:tab/>
              <w:t>—</w:t>
            </w:r>
            <w:r>
              <w:rPr>
                <w:color w:val="000000"/>
                <w:sz w:val="20"/>
              </w:rPr>
              <w:tab/>
            </w:r>
          </w:p>
        </w:tc>
      </w:tr>
      <w:tr w:rsidR="00DE25E4">
        <w:trPr>
          <w:cantSplit/>
          <w:trHeight w:hRule="exact" w:val="300"/>
          <w:jc w:val="center"/>
        </w:trPr>
        <w:tc>
          <w:tcPr>
            <w:tcW w:w="5490"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Tax effect of adjustments</w:t>
            </w: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b/>
                <w:color w:val="000000"/>
                <w:sz w:val="20"/>
              </w:rPr>
              <w:tab/>
              <w:t>0.05</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691"/>
              </w:tabs>
              <w:spacing w:before="75" w:after="30"/>
              <w:jc w:val="right"/>
            </w:pPr>
            <w:r>
              <w:rPr>
                <w:color w:val="000000"/>
                <w:sz w:val="20"/>
              </w:rPr>
              <w:tab/>
              <w:t>(0.08)</w:t>
            </w:r>
          </w:p>
        </w:tc>
        <w:tc>
          <w:tcPr>
            <w:tcW w:w="12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691"/>
              </w:tabs>
              <w:spacing w:before="75" w:after="30"/>
              <w:jc w:val="right"/>
            </w:pPr>
            <w:r>
              <w:rPr>
                <w:b/>
                <w:color w:val="000000"/>
                <w:sz w:val="20"/>
              </w:rPr>
              <w:tab/>
              <w:t>(0.05)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691"/>
              </w:tabs>
              <w:spacing w:before="75" w:after="30"/>
              <w:jc w:val="right"/>
            </w:pPr>
            <w:r>
              <w:rPr>
                <w:color w:val="000000"/>
                <w:sz w:val="20"/>
              </w:rPr>
              <w:tab/>
            </w:r>
            <w:r>
              <w:rPr>
                <w:color w:val="000000"/>
                <w:sz w:val="20"/>
              </w:rPr>
              <w:t>(0.17)</w:t>
            </w:r>
          </w:p>
        </w:tc>
      </w:tr>
      <w:tr w:rsidR="00DE25E4">
        <w:trPr>
          <w:cantSplit/>
          <w:trHeight w:hRule="exact" w:val="300"/>
          <w:jc w:val="center"/>
        </w:trPr>
        <w:tc>
          <w:tcPr>
            <w:tcW w:w="5490"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spacing w:before="55" w:after="30"/>
            </w:pPr>
            <w:r>
              <w:rPr>
                <w:b/>
                <w:color w:val="000000"/>
                <w:sz w:val="20"/>
              </w:rPr>
              <w:t>Adjusted earnings (loss) per share</w:t>
            </w:r>
          </w:p>
        </w:tc>
        <w:tc>
          <w:tcPr>
            <w:tcW w:w="126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DE25E4" w:rsidRDefault="00AD30C9">
            <w:pPr>
              <w:tabs>
                <w:tab w:val="left" w:pos="691"/>
              </w:tabs>
              <w:spacing w:before="55" w:after="30"/>
              <w:jc w:val="right"/>
            </w:pPr>
            <w:r>
              <w:rPr>
                <w:b/>
                <w:color w:val="000000"/>
                <w:sz w:val="20"/>
              </w:rPr>
              <w:t>$</w:t>
            </w:r>
            <w:r>
              <w:rPr>
                <w:b/>
                <w:color w:val="000000"/>
                <w:sz w:val="20"/>
              </w:rPr>
              <w:tab/>
              <w:t>(0.07)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tc>
        <w:tc>
          <w:tcPr>
            <w:tcW w:w="126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DE25E4" w:rsidRDefault="00AD30C9">
            <w:pPr>
              <w:tabs>
                <w:tab w:val="left" w:pos="691"/>
              </w:tabs>
              <w:spacing w:before="55" w:after="30"/>
              <w:jc w:val="right"/>
            </w:pPr>
            <w:r>
              <w:rPr>
                <w:color w:val="000000"/>
                <w:sz w:val="20"/>
              </w:rPr>
              <w:t>$</w:t>
            </w:r>
            <w:r>
              <w:rPr>
                <w:color w:val="000000"/>
                <w:sz w:val="20"/>
              </w:rPr>
              <w:tab/>
              <w:t>(0.09)</w:t>
            </w:r>
          </w:p>
        </w:tc>
        <w:tc>
          <w:tcPr>
            <w:tcW w:w="12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tc>
        <w:tc>
          <w:tcPr>
            <w:tcW w:w="126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DE25E4" w:rsidRDefault="00AD30C9">
            <w:pPr>
              <w:tabs>
                <w:tab w:val="left" w:pos="777"/>
                <w:tab w:val="left" w:pos="1192"/>
              </w:tabs>
              <w:spacing w:before="55" w:after="30"/>
              <w:jc w:val="right"/>
            </w:pPr>
            <w:r>
              <w:rPr>
                <w:b/>
                <w:color w:val="000000"/>
                <w:sz w:val="20"/>
              </w:rPr>
              <w:t>$</w:t>
            </w:r>
            <w:r>
              <w:rPr>
                <w:b/>
                <w:color w:val="000000"/>
                <w:sz w:val="20"/>
              </w:rPr>
              <w:tab/>
              <w:t>0.60</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tc>
        <w:tc>
          <w:tcPr>
            <w:tcW w:w="126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DE25E4" w:rsidRDefault="00AD30C9">
            <w:pPr>
              <w:tabs>
                <w:tab w:val="left" w:pos="777"/>
                <w:tab w:val="left" w:pos="1192"/>
              </w:tabs>
              <w:spacing w:before="55" w:after="30"/>
              <w:jc w:val="right"/>
            </w:pPr>
            <w:r>
              <w:rPr>
                <w:color w:val="000000"/>
                <w:sz w:val="20"/>
              </w:rPr>
              <w:t>$</w:t>
            </w:r>
            <w:r>
              <w:rPr>
                <w:color w:val="000000"/>
                <w:sz w:val="20"/>
              </w:rPr>
              <w:tab/>
              <w:t>0.93</w:t>
            </w:r>
            <w:r>
              <w:rPr>
                <w:color w:val="000000"/>
                <w:sz w:val="20"/>
              </w:rPr>
              <w:tab/>
            </w:r>
          </w:p>
        </w:tc>
      </w:tr>
    </w:tbl>
    <w:p w:rsidR="00DE25E4" w:rsidRDefault="00AD30C9">
      <w:pPr>
        <w:spacing w:before="180" w:line="288" w:lineRule="auto"/>
        <w:rPr>
          <w:sz w:val="20"/>
        </w:rPr>
      </w:pPr>
      <w:r>
        <w:rPr>
          <w:sz w:val="20"/>
        </w:rPr>
        <w:t xml:space="preserve">Adjusted earnings (loss) per share are based on weighted average diluted shares outstanding of </w:t>
      </w:r>
      <w:r>
        <w:rPr>
          <w:color w:val="000000"/>
          <w:sz w:val="20"/>
        </w:rPr>
        <w:t>114.6 million</w:t>
      </w:r>
      <w:r>
        <w:rPr>
          <w:sz w:val="20"/>
        </w:rPr>
        <w:t xml:space="preserve"> and </w:t>
      </w:r>
      <w:r>
        <w:rPr>
          <w:color w:val="000000"/>
          <w:sz w:val="20"/>
        </w:rPr>
        <w:t>114.1 million</w:t>
      </w:r>
      <w:r>
        <w:rPr>
          <w:sz w:val="20"/>
        </w:rPr>
        <w:t xml:space="preserve"> for the three months ended </w:t>
      </w:r>
      <w:r>
        <w:rPr>
          <w:color w:val="000000"/>
          <w:sz w:val="20"/>
        </w:rPr>
        <w:t>December 31</w:t>
      </w:r>
      <w:r>
        <w:rPr>
          <w:color w:val="000000"/>
          <w:sz w:val="20"/>
        </w:rPr>
        <w:t>, 2022</w:t>
      </w:r>
      <w:r>
        <w:rPr>
          <w:sz w:val="20"/>
        </w:rPr>
        <w:t xml:space="preserve"> and </w:t>
      </w:r>
      <w:r>
        <w:rPr>
          <w:color w:val="000000"/>
          <w:sz w:val="20"/>
        </w:rPr>
        <w:t>2021</w:t>
      </w:r>
      <w:r>
        <w:rPr>
          <w:sz w:val="20"/>
        </w:rPr>
        <w:t xml:space="preserve"> respectively, and </w:t>
      </w:r>
      <w:r>
        <w:rPr>
          <w:color w:val="000000"/>
          <w:sz w:val="20"/>
        </w:rPr>
        <w:t>120.4 million</w:t>
      </w:r>
      <w:r>
        <w:rPr>
          <w:sz w:val="20"/>
        </w:rPr>
        <w:t xml:space="preserve"> and </w:t>
      </w:r>
      <w:r>
        <w:rPr>
          <w:color w:val="000000"/>
          <w:sz w:val="20"/>
        </w:rPr>
        <w:t>118.7 million</w:t>
      </w:r>
      <w:r>
        <w:rPr>
          <w:sz w:val="20"/>
        </w:rPr>
        <w:t xml:space="preserve"> for the twelve months ended </w:t>
      </w:r>
      <w:r>
        <w:rPr>
          <w:color w:val="000000"/>
          <w:sz w:val="20"/>
        </w:rPr>
        <w:t>December 31, 2022</w:t>
      </w:r>
      <w:r>
        <w:rPr>
          <w:sz w:val="20"/>
        </w:rPr>
        <w:t xml:space="preserve"> and </w:t>
      </w:r>
      <w:r>
        <w:rPr>
          <w:color w:val="000000"/>
          <w:sz w:val="20"/>
        </w:rPr>
        <w:t>2021</w:t>
      </w:r>
      <w:r>
        <w:rPr>
          <w:sz w:val="20"/>
        </w:rPr>
        <w:t xml:space="preserve">, respectively.  </w:t>
      </w:r>
    </w:p>
    <w:p w:rsidR="00DE25E4" w:rsidRDefault="00AD30C9">
      <w:pPr>
        <w:pageBreakBefore/>
        <w:spacing w:line="288" w:lineRule="auto"/>
        <w:jc w:val="center"/>
        <w:rPr>
          <w:b/>
          <w:sz w:val="20"/>
        </w:rPr>
      </w:pPr>
      <w:r>
        <w:rPr>
          <w:b/>
          <w:sz w:val="20"/>
        </w:rPr>
        <w:lastRenderedPageBreak/>
        <w:t>AMERICAN AXLE &amp; MANUFACTURING HOLDINGS, INC.</w:t>
      </w:r>
    </w:p>
    <w:p w:rsidR="00DE25E4" w:rsidRDefault="00AD30C9">
      <w:pPr>
        <w:spacing w:line="288" w:lineRule="auto"/>
        <w:jc w:val="center"/>
        <w:rPr>
          <w:b/>
          <w:sz w:val="20"/>
        </w:rPr>
      </w:pPr>
      <w:r>
        <w:rPr>
          <w:b/>
          <w:sz w:val="20"/>
        </w:rPr>
        <w:t>SUPPLEMENTAL DATA</w:t>
      </w:r>
    </w:p>
    <w:p w:rsidR="00DE25E4" w:rsidRDefault="00AD30C9">
      <w:pPr>
        <w:spacing w:after="180" w:line="288" w:lineRule="auto"/>
        <w:jc w:val="center"/>
        <w:rPr>
          <w:i/>
          <w:sz w:val="20"/>
        </w:rPr>
      </w:pPr>
      <w:r>
        <w:rPr>
          <w:i/>
          <w:sz w:val="20"/>
        </w:rPr>
        <w:t xml:space="preserve">(Unaudited) </w:t>
      </w:r>
    </w:p>
    <w:p w:rsidR="00DE25E4" w:rsidRDefault="00AD30C9">
      <w:pPr>
        <w:spacing w:line="288" w:lineRule="auto"/>
        <w:jc w:val="center"/>
        <w:rPr>
          <w:sz w:val="20"/>
        </w:rPr>
      </w:pPr>
      <w:r>
        <w:rPr>
          <w:sz w:val="20"/>
        </w:rPr>
        <w:t>The supplemental data presented below is a</w:t>
      </w:r>
      <w:r>
        <w:rPr>
          <w:sz w:val="20"/>
        </w:rPr>
        <w:t xml:space="preserve"> reconciliation of certain financial measures which is intended</w:t>
      </w:r>
    </w:p>
    <w:p w:rsidR="00DE25E4" w:rsidRDefault="00AD30C9">
      <w:pPr>
        <w:spacing w:after="180" w:line="288" w:lineRule="auto"/>
        <w:jc w:val="center"/>
        <w:rPr>
          <w:sz w:val="20"/>
        </w:rPr>
      </w:pPr>
      <w:r>
        <w:rPr>
          <w:sz w:val="20"/>
        </w:rPr>
        <w:t xml:space="preserve">to facilitate analysis of American Axle &amp; Manufacturing Holdings, Inc. business and operating performance. </w:t>
      </w:r>
    </w:p>
    <w:p w:rsidR="00DE25E4" w:rsidRDefault="00DE25E4">
      <w:pPr>
        <w:spacing w:line="288" w:lineRule="auto"/>
        <w:jc w:val="center"/>
        <w:rPr>
          <w:b/>
          <w:sz w:val="20"/>
        </w:rPr>
      </w:pPr>
    </w:p>
    <w:p w:rsidR="00DE25E4" w:rsidRDefault="00AD30C9">
      <w:pPr>
        <w:spacing w:line="288" w:lineRule="auto"/>
        <w:jc w:val="center"/>
        <w:rPr>
          <w:b/>
          <w:sz w:val="20"/>
        </w:rPr>
      </w:pPr>
      <w:r>
        <w:rPr>
          <w:b/>
          <w:sz w:val="20"/>
        </w:rPr>
        <w:t>Free cash flow and Adjusted free cash flow</w:t>
      </w:r>
      <w:r>
        <w:rPr>
          <w:b/>
          <w:sz w:val="16"/>
          <w:vertAlign w:val="superscript"/>
        </w:rPr>
        <w:t>(d)</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5"/>
        <w:gridCol w:w="1260"/>
        <w:gridCol w:w="75"/>
        <w:gridCol w:w="1260"/>
        <w:gridCol w:w="105"/>
        <w:gridCol w:w="1260"/>
        <w:gridCol w:w="75"/>
        <w:gridCol w:w="1260"/>
      </w:tblGrid>
      <w:tr w:rsidR="00DE25E4">
        <w:trPr>
          <w:cantSplit/>
          <w:trHeight w:hRule="exact" w:val="300"/>
          <w:jc w:val="center"/>
        </w:trPr>
        <w:tc>
          <w:tcPr>
            <w:tcW w:w="550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2595" w:type="dxa"/>
            <w:gridSpan w:val="3"/>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jc w:val="center"/>
            </w:pPr>
            <w:r>
              <w:rPr>
                <w:b/>
                <w:color w:val="000000"/>
                <w:sz w:val="20"/>
              </w:rPr>
              <w:t xml:space="preserve">Three Months Ended </w:t>
            </w:r>
          </w:p>
        </w:tc>
        <w:tc>
          <w:tcPr>
            <w:tcW w:w="10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2595" w:type="dxa"/>
            <w:gridSpan w:val="3"/>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jc w:val="center"/>
            </w:pPr>
            <w:r>
              <w:rPr>
                <w:b/>
                <w:color w:val="000000"/>
                <w:sz w:val="20"/>
              </w:rPr>
              <w:t>Twelve Months Ended</w:t>
            </w:r>
          </w:p>
        </w:tc>
      </w:tr>
      <w:tr w:rsidR="00DE25E4">
        <w:trPr>
          <w:cantSplit/>
          <w:trHeight w:hRule="exact" w:val="300"/>
          <w:jc w:val="center"/>
        </w:trPr>
        <w:tc>
          <w:tcPr>
            <w:tcW w:w="5505" w:type="dxa"/>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pPr>
            <w:r>
              <w:rPr>
                <w:color w:val="000000"/>
                <w:sz w:val="20"/>
              </w:rPr>
              <w:t> </w:t>
            </w:r>
          </w:p>
        </w:tc>
        <w:tc>
          <w:tcPr>
            <w:tcW w:w="2595" w:type="dxa"/>
            <w:gridSpan w:val="3"/>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jc w:val="center"/>
            </w:pPr>
            <w:r>
              <w:rPr>
                <w:b/>
                <w:color w:val="000000"/>
                <w:sz w:val="20"/>
              </w:rPr>
              <w:t>December 31,</w:t>
            </w:r>
          </w:p>
        </w:tc>
        <w:tc>
          <w:tcPr>
            <w:tcW w:w="10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2595" w:type="dxa"/>
            <w:gridSpan w:val="3"/>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jc w:val="center"/>
            </w:pPr>
            <w:r>
              <w:rPr>
                <w:b/>
                <w:color w:val="000000"/>
                <w:sz w:val="20"/>
              </w:rPr>
              <w:t>December 31,</w:t>
            </w:r>
          </w:p>
        </w:tc>
      </w:tr>
      <w:tr w:rsidR="00DE25E4">
        <w:trPr>
          <w:cantSplit/>
          <w:trHeight w:hRule="exact" w:val="240"/>
          <w:jc w:val="center"/>
        </w:trPr>
        <w:tc>
          <w:tcPr>
            <w:tcW w:w="5505" w:type="dxa"/>
            <w:tcBorders>
              <w:top w:val="nil"/>
              <w:left w:val="nil"/>
              <w:bottom w:val="nil"/>
              <w:right w:val="nil"/>
            </w:tcBorders>
            <w:tcMar>
              <w:top w:w="0" w:type="dxa"/>
              <w:left w:w="53" w:type="dxa"/>
              <w:bottom w:w="0" w:type="dxa"/>
              <w:right w:w="53" w:type="dxa"/>
            </w:tcMar>
            <w:vAlign w:val="bottom"/>
          </w:tcPr>
          <w:p w:rsidR="00DE25E4" w:rsidRDefault="00AD30C9">
            <w:pPr>
              <w:keepNext/>
              <w:spacing w:before="55" w:after="30"/>
            </w:pPr>
            <w:r>
              <w:rPr>
                <w:color w:val="000000"/>
                <w:sz w:val="20"/>
              </w:rPr>
              <w:t> </w:t>
            </w:r>
          </w:p>
        </w:tc>
        <w:tc>
          <w:tcPr>
            <w:tcW w:w="1260" w:type="dxa"/>
            <w:tcBorders>
              <w:top w:val="single" w:sz="8" w:space="0" w:color="000000"/>
              <w:left w:val="nil"/>
              <w:bottom w:val="single" w:sz="8" w:space="0" w:color="000000"/>
              <w:right w:val="nil"/>
            </w:tcBorders>
            <w:tcMar>
              <w:top w:w="0" w:type="dxa"/>
              <w:left w:w="53" w:type="dxa"/>
              <w:bottom w:w="0" w:type="dxa"/>
              <w:right w:w="53" w:type="dxa"/>
            </w:tcMar>
            <w:vAlign w:val="bottom"/>
          </w:tcPr>
          <w:p w:rsidR="00DE25E4" w:rsidRDefault="00AD30C9">
            <w:pPr>
              <w:keepNext/>
              <w:spacing w:before="55" w:after="30"/>
              <w:jc w:val="center"/>
            </w:pPr>
            <w:r>
              <w:rPr>
                <w:b/>
                <w:color w:val="000000"/>
                <w:sz w:val="20"/>
              </w:rPr>
              <w:t>2022</w:t>
            </w:r>
          </w:p>
        </w:tc>
        <w:tc>
          <w:tcPr>
            <w:tcW w:w="75" w:type="dxa"/>
            <w:tcBorders>
              <w:top w:val="single" w:sz="8" w:space="0" w:color="000000"/>
              <w:left w:val="nil"/>
              <w:bottom w:val="nil"/>
              <w:right w:val="nil"/>
            </w:tcBorders>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single" w:sz="8" w:space="0" w:color="000000"/>
              <w:right w:val="nil"/>
            </w:tcBorders>
            <w:tcMar>
              <w:top w:w="0" w:type="dxa"/>
              <w:left w:w="53" w:type="dxa"/>
              <w:bottom w:w="0" w:type="dxa"/>
              <w:right w:w="53" w:type="dxa"/>
            </w:tcMar>
            <w:vAlign w:val="bottom"/>
          </w:tcPr>
          <w:p w:rsidR="00DE25E4" w:rsidRDefault="00AD30C9">
            <w:pPr>
              <w:keepNext/>
              <w:spacing w:before="55" w:after="30"/>
              <w:jc w:val="center"/>
            </w:pPr>
            <w:r>
              <w:rPr>
                <w:b/>
                <w:color w:val="000000"/>
                <w:sz w:val="20"/>
              </w:rPr>
              <w:t>2021</w:t>
            </w:r>
          </w:p>
        </w:tc>
        <w:tc>
          <w:tcPr>
            <w:tcW w:w="10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single" w:sz="8" w:space="0" w:color="000000"/>
              <w:right w:val="nil"/>
            </w:tcBorders>
            <w:tcMar>
              <w:top w:w="0" w:type="dxa"/>
              <w:left w:w="53" w:type="dxa"/>
              <w:bottom w:w="0" w:type="dxa"/>
              <w:right w:w="53" w:type="dxa"/>
            </w:tcMar>
            <w:vAlign w:val="bottom"/>
          </w:tcPr>
          <w:p w:rsidR="00DE25E4" w:rsidRDefault="00AD30C9">
            <w:pPr>
              <w:keepNext/>
              <w:spacing w:before="55" w:after="30"/>
              <w:jc w:val="center"/>
            </w:pPr>
            <w:r>
              <w:rPr>
                <w:b/>
                <w:color w:val="000000"/>
                <w:sz w:val="20"/>
              </w:rPr>
              <w:t>2022</w:t>
            </w:r>
          </w:p>
        </w:tc>
        <w:tc>
          <w:tcPr>
            <w:tcW w:w="75" w:type="dxa"/>
            <w:tcBorders>
              <w:top w:val="single" w:sz="8" w:space="0" w:color="000000"/>
              <w:left w:val="nil"/>
              <w:bottom w:val="nil"/>
              <w:right w:val="nil"/>
            </w:tcBorders>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single" w:sz="8" w:space="0" w:color="000000"/>
              <w:right w:val="nil"/>
            </w:tcBorders>
            <w:tcMar>
              <w:top w:w="0" w:type="dxa"/>
              <w:left w:w="53" w:type="dxa"/>
              <w:bottom w:w="0" w:type="dxa"/>
              <w:right w:w="53" w:type="dxa"/>
            </w:tcMar>
            <w:vAlign w:val="bottom"/>
          </w:tcPr>
          <w:p w:rsidR="00DE25E4" w:rsidRDefault="00AD30C9">
            <w:pPr>
              <w:keepNext/>
              <w:spacing w:before="55" w:after="30"/>
              <w:jc w:val="center"/>
            </w:pPr>
            <w:r>
              <w:rPr>
                <w:b/>
                <w:color w:val="000000"/>
                <w:sz w:val="20"/>
              </w:rPr>
              <w:t>2021</w:t>
            </w:r>
          </w:p>
        </w:tc>
      </w:tr>
      <w:tr w:rsidR="00DE25E4">
        <w:trPr>
          <w:cantSplit/>
          <w:trHeight w:hRule="exact" w:val="240"/>
          <w:jc w:val="center"/>
        </w:trPr>
        <w:tc>
          <w:tcPr>
            <w:tcW w:w="5505" w:type="dxa"/>
            <w:tcBorders>
              <w:top w:val="nil"/>
              <w:left w:val="nil"/>
              <w:bottom w:val="nil"/>
              <w:right w:val="nil"/>
            </w:tcBorders>
            <w:tcMar>
              <w:top w:w="0" w:type="dxa"/>
              <w:left w:w="53" w:type="dxa"/>
              <w:bottom w:w="0" w:type="dxa"/>
              <w:right w:w="53" w:type="dxa"/>
            </w:tcMar>
            <w:vAlign w:val="bottom"/>
          </w:tcPr>
          <w:p w:rsidR="00DE25E4" w:rsidRDefault="00AD30C9">
            <w:pPr>
              <w:keepNext/>
              <w:spacing w:before="55" w:after="30"/>
            </w:pPr>
            <w:r>
              <w:rPr>
                <w:color w:val="000000"/>
                <w:sz w:val="20"/>
              </w:rPr>
              <w:t> </w:t>
            </w:r>
          </w:p>
        </w:tc>
        <w:tc>
          <w:tcPr>
            <w:tcW w:w="5295" w:type="dxa"/>
            <w:gridSpan w:val="7"/>
            <w:tcBorders>
              <w:top w:val="nil"/>
              <w:left w:val="nil"/>
              <w:bottom w:val="nil"/>
              <w:right w:val="nil"/>
            </w:tcBorders>
            <w:tcMar>
              <w:top w:w="0" w:type="dxa"/>
              <w:left w:w="53" w:type="dxa"/>
              <w:bottom w:w="0" w:type="dxa"/>
              <w:right w:w="53" w:type="dxa"/>
            </w:tcMar>
            <w:vAlign w:val="bottom"/>
          </w:tcPr>
          <w:p w:rsidR="00DE25E4" w:rsidRDefault="00AD30C9">
            <w:pPr>
              <w:keepNext/>
              <w:spacing w:before="55" w:after="30"/>
              <w:jc w:val="center"/>
            </w:pPr>
            <w:r>
              <w:rPr>
                <w:i/>
                <w:color w:val="000000"/>
                <w:sz w:val="20"/>
              </w:rPr>
              <w:t>(in millions)</w:t>
            </w:r>
          </w:p>
        </w:tc>
      </w:tr>
      <w:tr w:rsidR="00DE25E4">
        <w:trPr>
          <w:cantSplit/>
          <w:trHeight w:hRule="exact" w:val="300"/>
          <w:jc w:val="center"/>
        </w:trPr>
        <w:tc>
          <w:tcPr>
            <w:tcW w:w="550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Net cash provided by operating activities</w:t>
            </w: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77"/>
                <w:tab w:val="left" w:pos="1192"/>
              </w:tabs>
              <w:spacing w:before="75" w:after="30"/>
              <w:jc w:val="right"/>
            </w:pPr>
            <w:r>
              <w:rPr>
                <w:b/>
                <w:color w:val="000000"/>
                <w:sz w:val="20"/>
              </w:rPr>
              <w:t>$</w:t>
            </w:r>
            <w:r>
              <w:rPr>
                <w:b/>
                <w:color w:val="000000"/>
                <w:sz w:val="20"/>
              </w:rPr>
              <w:tab/>
              <w:t>148.5</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77"/>
                <w:tab w:val="left" w:pos="1192"/>
              </w:tabs>
              <w:spacing w:before="75" w:after="30"/>
              <w:jc w:val="right"/>
            </w:pPr>
            <w:r>
              <w:rPr>
                <w:color w:val="000000"/>
                <w:sz w:val="20"/>
              </w:rPr>
              <w:t>$</w:t>
            </w:r>
            <w:r>
              <w:rPr>
                <w:color w:val="000000"/>
                <w:sz w:val="20"/>
              </w:rPr>
              <w:tab/>
              <w:t>102.4</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77"/>
                <w:tab w:val="left" w:pos="1192"/>
              </w:tabs>
              <w:spacing w:before="75" w:after="30"/>
              <w:jc w:val="right"/>
            </w:pPr>
            <w:r>
              <w:rPr>
                <w:b/>
                <w:color w:val="000000"/>
                <w:sz w:val="20"/>
              </w:rPr>
              <w:t>$</w:t>
            </w:r>
            <w:r>
              <w:rPr>
                <w:b/>
                <w:color w:val="000000"/>
                <w:sz w:val="20"/>
              </w:rPr>
              <w:tab/>
              <w:t>448.9</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77"/>
                <w:tab w:val="left" w:pos="1192"/>
              </w:tabs>
              <w:spacing w:before="75" w:after="30"/>
              <w:jc w:val="right"/>
            </w:pPr>
            <w:r>
              <w:rPr>
                <w:color w:val="000000"/>
                <w:sz w:val="20"/>
              </w:rPr>
              <w:t>$</w:t>
            </w:r>
            <w:r>
              <w:rPr>
                <w:color w:val="000000"/>
                <w:sz w:val="20"/>
              </w:rPr>
              <w:tab/>
              <w:t>538.4</w:t>
            </w:r>
            <w:r>
              <w:rPr>
                <w:color w:val="000000"/>
                <w:sz w:val="20"/>
              </w:rPr>
              <w:tab/>
            </w:r>
          </w:p>
        </w:tc>
      </w:tr>
      <w:tr w:rsidR="00DE25E4">
        <w:trPr>
          <w:cantSplit/>
          <w:trHeight w:hRule="exact" w:val="435"/>
          <w:jc w:val="center"/>
        </w:trPr>
        <w:tc>
          <w:tcPr>
            <w:tcW w:w="550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Capital expenditures net of proceeds from the sale of property, plant and equipment</w:t>
            </w:r>
          </w:p>
        </w:tc>
        <w:tc>
          <w:tcPr>
            <w:tcW w:w="1260" w:type="dxa"/>
            <w:tcBorders>
              <w:top w:val="nil"/>
              <w:left w:val="nil"/>
              <w:bottom w:val="single" w:sz="8" w:space="0" w:color="000000"/>
              <w:right w:val="nil"/>
            </w:tcBorders>
            <w:shd w:val="clear" w:color="auto" w:fill="FFFFFF"/>
            <w:tcMar>
              <w:top w:w="0" w:type="dxa"/>
              <w:left w:w="0" w:type="dxa"/>
              <w:bottom w:w="0" w:type="dxa"/>
              <w:right w:w="15" w:type="dxa"/>
            </w:tcMar>
          </w:tcPr>
          <w:p w:rsidR="00DE25E4" w:rsidRDefault="00AD30C9">
            <w:pPr>
              <w:keepNext/>
              <w:tabs>
                <w:tab w:val="left" w:pos="691"/>
              </w:tabs>
              <w:spacing w:before="75" w:after="30"/>
              <w:jc w:val="right"/>
            </w:pPr>
            <w:r>
              <w:rPr>
                <w:b/>
                <w:color w:val="000000"/>
                <w:sz w:val="20"/>
              </w:rPr>
              <w:tab/>
              <w:t>(53.1)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single" w:sz="8" w:space="0" w:color="000000"/>
              <w:right w:val="nil"/>
            </w:tcBorders>
            <w:shd w:val="clear" w:color="auto" w:fill="FFFFFF"/>
            <w:tcMar>
              <w:top w:w="0" w:type="dxa"/>
              <w:left w:w="0" w:type="dxa"/>
              <w:bottom w:w="0" w:type="dxa"/>
              <w:right w:w="15" w:type="dxa"/>
            </w:tcMar>
          </w:tcPr>
          <w:p w:rsidR="00DE25E4" w:rsidRDefault="00AD30C9">
            <w:pPr>
              <w:keepNext/>
              <w:tabs>
                <w:tab w:val="left" w:pos="691"/>
              </w:tabs>
              <w:spacing w:before="75" w:after="30"/>
              <w:jc w:val="right"/>
            </w:pPr>
            <w:r>
              <w:rPr>
                <w:color w:val="000000"/>
                <w:sz w:val="20"/>
              </w:rPr>
              <w:tab/>
              <w:t>(65.2)</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single" w:sz="8" w:space="0" w:color="000000"/>
              <w:right w:val="nil"/>
            </w:tcBorders>
            <w:shd w:val="clear" w:color="auto" w:fill="FFFFFF"/>
            <w:tcMar>
              <w:top w:w="0" w:type="dxa"/>
              <w:left w:w="0" w:type="dxa"/>
              <w:bottom w:w="0" w:type="dxa"/>
              <w:right w:w="15" w:type="dxa"/>
            </w:tcMar>
          </w:tcPr>
          <w:p w:rsidR="00DE25E4" w:rsidRDefault="00AD30C9">
            <w:pPr>
              <w:keepNext/>
              <w:tabs>
                <w:tab w:val="left" w:pos="591"/>
              </w:tabs>
              <w:spacing w:before="75" w:after="30"/>
              <w:jc w:val="right"/>
            </w:pPr>
            <w:r>
              <w:rPr>
                <w:b/>
                <w:color w:val="000000"/>
                <w:sz w:val="20"/>
              </w:rPr>
              <w:tab/>
              <w:t>(166.7)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single" w:sz="8" w:space="0" w:color="000000"/>
              <w:right w:val="nil"/>
            </w:tcBorders>
            <w:shd w:val="clear" w:color="auto" w:fill="FFFFFF"/>
            <w:tcMar>
              <w:top w:w="0" w:type="dxa"/>
              <w:left w:w="0" w:type="dxa"/>
              <w:bottom w:w="0" w:type="dxa"/>
              <w:right w:w="15" w:type="dxa"/>
            </w:tcMar>
          </w:tcPr>
          <w:p w:rsidR="00DE25E4" w:rsidRDefault="00AD30C9">
            <w:pPr>
              <w:keepNext/>
              <w:tabs>
                <w:tab w:val="left" w:pos="591"/>
              </w:tabs>
              <w:spacing w:before="75" w:after="30"/>
              <w:jc w:val="right"/>
            </w:pPr>
            <w:r>
              <w:rPr>
                <w:color w:val="000000"/>
                <w:sz w:val="20"/>
              </w:rPr>
              <w:tab/>
              <w:t>(179.2)</w:t>
            </w:r>
          </w:p>
        </w:tc>
      </w:tr>
      <w:tr w:rsidR="00DE25E4">
        <w:trPr>
          <w:cantSplit/>
          <w:trHeight w:hRule="exact" w:val="300"/>
          <w:jc w:val="center"/>
        </w:trPr>
        <w:tc>
          <w:tcPr>
            <w:tcW w:w="550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55" w:after="30"/>
            </w:pPr>
            <w:r>
              <w:rPr>
                <w:b/>
                <w:color w:val="000000"/>
                <w:sz w:val="20"/>
              </w:rPr>
              <w:t>Free cash flow</w:t>
            </w:r>
          </w:p>
        </w:tc>
        <w:tc>
          <w:tcPr>
            <w:tcW w:w="12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77"/>
                <w:tab w:val="left" w:pos="1192"/>
              </w:tabs>
              <w:spacing w:before="55" w:after="30"/>
              <w:jc w:val="right"/>
            </w:pPr>
            <w:r>
              <w:rPr>
                <w:b/>
                <w:color w:val="000000"/>
                <w:sz w:val="20"/>
              </w:rPr>
              <w:tab/>
              <w:t>95.4</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77"/>
                <w:tab w:val="left" w:pos="1192"/>
              </w:tabs>
              <w:spacing w:before="55" w:after="30"/>
              <w:jc w:val="right"/>
            </w:pPr>
            <w:r>
              <w:rPr>
                <w:color w:val="000000"/>
                <w:sz w:val="20"/>
              </w:rPr>
              <w:t>$</w:t>
            </w:r>
            <w:r>
              <w:rPr>
                <w:color w:val="000000"/>
                <w:sz w:val="20"/>
              </w:rPr>
              <w:tab/>
              <w:t>37.2</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77"/>
                <w:tab w:val="left" w:pos="1192"/>
              </w:tabs>
              <w:spacing w:before="55" w:after="30"/>
              <w:jc w:val="right"/>
            </w:pPr>
            <w:r>
              <w:rPr>
                <w:b/>
                <w:color w:val="000000"/>
                <w:sz w:val="20"/>
              </w:rPr>
              <w:tab/>
              <w:t>282.2</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77"/>
                <w:tab w:val="left" w:pos="1192"/>
              </w:tabs>
              <w:spacing w:before="55" w:after="30"/>
              <w:jc w:val="right"/>
            </w:pPr>
            <w:r>
              <w:rPr>
                <w:color w:val="000000"/>
                <w:sz w:val="20"/>
              </w:rPr>
              <w:tab/>
              <w:t>359.2</w:t>
            </w:r>
            <w:r>
              <w:rPr>
                <w:color w:val="000000"/>
                <w:sz w:val="20"/>
              </w:rPr>
              <w:tab/>
            </w:r>
          </w:p>
        </w:tc>
      </w:tr>
      <w:tr w:rsidR="00DE25E4">
        <w:trPr>
          <w:cantSplit/>
          <w:trHeight w:hRule="exact" w:val="300"/>
          <w:jc w:val="center"/>
        </w:trPr>
        <w:tc>
          <w:tcPr>
            <w:tcW w:w="550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Cash payments for restructuring and acquisition-related costs</w:t>
            </w: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877"/>
                <w:tab w:val="left" w:pos="1192"/>
              </w:tabs>
              <w:spacing w:before="75" w:after="30"/>
              <w:jc w:val="right"/>
            </w:pPr>
            <w:r>
              <w:rPr>
                <w:b/>
                <w:color w:val="000000"/>
                <w:sz w:val="20"/>
              </w:rPr>
              <w:tab/>
              <w:t>6.6</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877"/>
                <w:tab w:val="left" w:pos="1192"/>
              </w:tabs>
              <w:spacing w:before="75" w:after="30"/>
              <w:jc w:val="right"/>
            </w:pPr>
            <w:r>
              <w:rPr>
                <w:color w:val="000000"/>
                <w:sz w:val="20"/>
              </w:rPr>
              <w:tab/>
              <w:t>9.8</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b/>
                <w:color w:val="000000"/>
                <w:sz w:val="20"/>
              </w:rPr>
              <w:tab/>
              <w:t>27.8</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color w:val="000000"/>
                <w:sz w:val="20"/>
              </w:rPr>
              <w:tab/>
              <w:t>57.7</w:t>
            </w:r>
            <w:r>
              <w:rPr>
                <w:color w:val="000000"/>
                <w:sz w:val="20"/>
              </w:rPr>
              <w:tab/>
            </w:r>
          </w:p>
        </w:tc>
      </w:tr>
      <w:tr w:rsidR="00DE25E4">
        <w:trPr>
          <w:cantSplit/>
          <w:trHeight w:hRule="exact" w:val="300"/>
          <w:jc w:val="center"/>
        </w:trPr>
        <w:tc>
          <w:tcPr>
            <w:tcW w:w="550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Cash payments (insurance proceeds) related to Malvern fire, net</w:t>
            </w: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91"/>
              </w:tabs>
              <w:spacing w:before="75" w:after="30"/>
              <w:jc w:val="right"/>
            </w:pPr>
            <w:r>
              <w:rPr>
                <w:b/>
                <w:color w:val="000000"/>
                <w:sz w:val="20"/>
              </w:rPr>
              <w:tab/>
              <w:t>(3.0)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791"/>
              </w:tabs>
              <w:spacing w:before="75" w:after="30"/>
              <w:jc w:val="right"/>
            </w:pPr>
            <w:r>
              <w:rPr>
                <w:color w:val="000000"/>
                <w:sz w:val="20"/>
              </w:rPr>
              <w:tab/>
            </w:r>
            <w:r>
              <w:rPr>
                <w:color w:val="000000"/>
                <w:sz w:val="20"/>
              </w:rPr>
              <w:t>(3.4)</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877"/>
                <w:tab w:val="left" w:pos="1192"/>
              </w:tabs>
              <w:spacing w:before="75" w:after="30"/>
              <w:jc w:val="right"/>
            </w:pPr>
            <w:r>
              <w:rPr>
                <w:b/>
                <w:color w:val="000000"/>
                <w:sz w:val="20"/>
              </w:rPr>
              <w:tab/>
              <w:t>3.0</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877"/>
                <w:tab w:val="left" w:pos="1192"/>
              </w:tabs>
              <w:spacing w:before="75" w:after="30"/>
              <w:jc w:val="right"/>
            </w:pPr>
            <w:r>
              <w:rPr>
                <w:color w:val="000000"/>
                <w:sz w:val="20"/>
              </w:rPr>
              <w:tab/>
              <w:t>6.0</w:t>
            </w:r>
            <w:r>
              <w:rPr>
                <w:color w:val="000000"/>
                <w:sz w:val="20"/>
              </w:rPr>
              <w:tab/>
            </w:r>
          </w:p>
        </w:tc>
      </w:tr>
      <w:tr w:rsidR="00DE25E4">
        <w:trPr>
          <w:cantSplit/>
          <w:trHeight w:hRule="exact" w:val="300"/>
          <w:jc w:val="center"/>
        </w:trPr>
        <w:tc>
          <w:tcPr>
            <w:tcW w:w="550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spacing w:before="55" w:after="30"/>
            </w:pPr>
            <w:r>
              <w:rPr>
                <w:b/>
                <w:color w:val="000000"/>
                <w:sz w:val="20"/>
              </w:rPr>
              <w:t xml:space="preserve">Adjusted free cash flow </w:t>
            </w:r>
          </w:p>
        </w:tc>
        <w:tc>
          <w:tcPr>
            <w:tcW w:w="126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DE25E4" w:rsidRDefault="00AD30C9">
            <w:pPr>
              <w:tabs>
                <w:tab w:val="left" w:pos="777"/>
                <w:tab w:val="left" w:pos="1192"/>
              </w:tabs>
              <w:spacing w:before="55" w:after="30"/>
              <w:jc w:val="right"/>
            </w:pPr>
            <w:r>
              <w:rPr>
                <w:b/>
                <w:color w:val="000000"/>
                <w:sz w:val="20"/>
              </w:rPr>
              <w:t>$</w:t>
            </w:r>
            <w:r>
              <w:rPr>
                <w:b/>
                <w:color w:val="000000"/>
                <w:sz w:val="20"/>
              </w:rPr>
              <w:tab/>
              <w:t>99.0</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tc>
        <w:tc>
          <w:tcPr>
            <w:tcW w:w="126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DE25E4" w:rsidRDefault="00AD30C9">
            <w:pPr>
              <w:tabs>
                <w:tab w:val="left" w:pos="777"/>
                <w:tab w:val="left" w:pos="1192"/>
              </w:tabs>
              <w:spacing w:before="55" w:after="30"/>
              <w:jc w:val="right"/>
            </w:pPr>
            <w:r>
              <w:rPr>
                <w:color w:val="000000"/>
                <w:sz w:val="20"/>
              </w:rPr>
              <w:t>$</w:t>
            </w:r>
            <w:r>
              <w:rPr>
                <w:color w:val="000000"/>
                <w:sz w:val="20"/>
              </w:rPr>
              <w:tab/>
              <w:t>43.6</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tc>
        <w:tc>
          <w:tcPr>
            <w:tcW w:w="126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DE25E4" w:rsidRDefault="00AD30C9">
            <w:pPr>
              <w:tabs>
                <w:tab w:val="left" w:pos="677"/>
                <w:tab w:val="left" w:pos="1192"/>
              </w:tabs>
              <w:spacing w:before="55" w:after="30"/>
              <w:jc w:val="right"/>
            </w:pPr>
            <w:r>
              <w:rPr>
                <w:b/>
                <w:color w:val="000000"/>
                <w:sz w:val="20"/>
              </w:rPr>
              <w:t>$</w:t>
            </w:r>
            <w:r>
              <w:rPr>
                <w:b/>
                <w:color w:val="000000"/>
                <w:sz w:val="20"/>
              </w:rPr>
              <w:tab/>
              <w:t>313.0</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tc>
        <w:tc>
          <w:tcPr>
            <w:tcW w:w="126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DE25E4" w:rsidRDefault="00AD30C9">
            <w:pPr>
              <w:tabs>
                <w:tab w:val="left" w:pos="677"/>
                <w:tab w:val="left" w:pos="1192"/>
              </w:tabs>
              <w:spacing w:before="55" w:after="30"/>
              <w:jc w:val="right"/>
            </w:pPr>
            <w:r>
              <w:rPr>
                <w:color w:val="000000"/>
                <w:sz w:val="20"/>
              </w:rPr>
              <w:t>$</w:t>
            </w:r>
            <w:r>
              <w:rPr>
                <w:color w:val="000000"/>
                <w:sz w:val="20"/>
              </w:rPr>
              <w:tab/>
              <w:t>422.9</w:t>
            </w:r>
            <w:r>
              <w:rPr>
                <w:color w:val="000000"/>
                <w:sz w:val="20"/>
              </w:rPr>
              <w:tab/>
            </w:r>
          </w:p>
        </w:tc>
      </w:tr>
    </w:tbl>
    <w:p w:rsidR="00DE25E4" w:rsidRDefault="00DE25E4">
      <w:pPr>
        <w:spacing w:line="288" w:lineRule="auto"/>
        <w:jc w:val="center"/>
        <w:rPr>
          <w:sz w:val="20"/>
        </w:rPr>
      </w:pPr>
    </w:p>
    <w:p w:rsidR="00DE25E4" w:rsidRDefault="00DE25E4">
      <w:pPr>
        <w:spacing w:line="288" w:lineRule="auto"/>
        <w:jc w:val="center"/>
        <w:rPr>
          <w:sz w:val="20"/>
        </w:rPr>
      </w:pPr>
    </w:p>
    <w:p w:rsidR="00DE25E4" w:rsidRDefault="00AD30C9">
      <w:pPr>
        <w:spacing w:line="288" w:lineRule="auto"/>
        <w:jc w:val="center"/>
        <w:rPr>
          <w:b/>
          <w:sz w:val="20"/>
        </w:rPr>
      </w:pPr>
      <w:r>
        <w:rPr>
          <w:b/>
          <w:sz w:val="20"/>
        </w:rPr>
        <w:t>Segment Financial Information</w:t>
      </w:r>
    </w:p>
    <w:p w:rsidR="00DE25E4" w:rsidRDefault="00DE25E4">
      <w:pPr>
        <w:spacing w:line="288" w:lineRule="auto"/>
        <w:jc w:val="center"/>
        <w:rPr>
          <w:sz w:val="20"/>
        </w:rPr>
      </w:pPr>
    </w:p>
    <w:p w:rsidR="00DE25E4" w:rsidRDefault="00DE25E4">
      <w:pPr>
        <w:spacing w:line="288" w:lineRule="auto"/>
        <w:rPr>
          <w:color w:val="000000"/>
          <w:sz w:val="20"/>
          <w:shd w:val="clear" w:color="auto" w:fill="FFFFFF"/>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5"/>
        <w:gridCol w:w="1260"/>
        <w:gridCol w:w="75"/>
        <w:gridCol w:w="1260"/>
        <w:gridCol w:w="105"/>
        <w:gridCol w:w="1260"/>
        <w:gridCol w:w="75"/>
        <w:gridCol w:w="1260"/>
      </w:tblGrid>
      <w:tr w:rsidR="00DE25E4">
        <w:trPr>
          <w:cantSplit/>
          <w:trHeight w:hRule="exact" w:val="300"/>
          <w:jc w:val="center"/>
        </w:trPr>
        <w:tc>
          <w:tcPr>
            <w:tcW w:w="550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2595" w:type="dxa"/>
            <w:gridSpan w:val="3"/>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jc w:val="center"/>
            </w:pPr>
            <w:r>
              <w:rPr>
                <w:b/>
                <w:color w:val="000000"/>
                <w:sz w:val="20"/>
              </w:rPr>
              <w:t xml:space="preserve">Three Months Ended </w:t>
            </w:r>
          </w:p>
        </w:tc>
        <w:tc>
          <w:tcPr>
            <w:tcW w:w="10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2595" w:type="dxa"/>
            <w:gridSpan w:val="3"/>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jc w:val="center"/>
            </w:pPr>
            <w:r>
              <w:rPr>
                <w:b/>
                <w:color w:val="000000"/>
                <w:sz w:val="20"/>
              </w:rPr>
              <w:t>Twelve Months Ended</w:t>
            </w:r>
          </w:p>
        </w:tc>
      </w:tr>
      <w:tr w:rsidR="00DE25E4">
        <w:trPr>
          <w:cantSplit/>
          <w:trHeight w:hRule="exact" w:val="300"/>
          <w:jc w:val="center"/>
        </w:trPr>
        <w:tc>
          <w:tcPr>
            <w:tcW w:w="5505" w:type="dxa"/>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pPr>
            <w:r>
              <w:rPr>
                <w:color w:val="000000"/>
                <w:sz w:val="20"/>
              </w:rPr>
              <w:t> </w:t>
            </w:r>
          </w:p>
        </w:tc>
        <w:tc>
          <w:tcPr>
            <w:tcW w:w="2595" w:type="dxa"/>
            <w:gridSpan w:val="3"/>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jc w:val="center"/>
            </w:pPr>
            <w:r>
              <w:rPr>
                <w:b/>
                <w:color w:val="000000"/>
                <w:sz w:val="20"/>
              </w:rPr>
              <w:t>December 31,</w:t>
            </w:r>
          </w:p>
        </w:tc>
        <w:tc>
          <w:tcPr>
            <w:tcW w:w="10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2595" w:type="dxa"/>
            <w:gridSpan w:val="3"/>
            <w:tcBorders>
              <w:top w:val="nil"/>
              <w:left w:val="nil"/>
              <w:bottom w:val="nil"/>
              <w:right w:val="nil"/>
            </w:tcBorders>
            <w:tcMar>
              <w:top w:w="0" w:type="dxa"/>
              <w:left w:w="53" w:type="dxa"/>
              <w:bottom w:w="0" w:type="dxa"/>
              <w:right w:w="53" w:type="dxa"/>
            </w:tcMar>
            <w:vAlign w:val="bottom"/>
          </w:tcPr>
          <w:p w:rsidR="00DE25E4" w:rsidRDefault="00AD30C9">
            <w:pPr>
              <w:keepNext/>
              <w:spacing w:before="75" w:after="30"/>
              <w:jc w:val="center"/>
            </w:pPr>
            <w:r>
              <w:rPr>
                <w:b/>
                <w:color w:val="000000"/>
                <w:sz w:val="20"/>
              </w:rPr>
              <w:t>December 31,</w:t>
            </w:r>
          </w:p>
        </w:tc>
      </w:tr>
      <w:tr w:rsidR="00DE25E4">
        <w:trPr>
          <w:cantSplit/>
          <w:trHeight w:hRule="exact" w:val="240"/>
          <w:jc w:val="center"/>
        </w:trPr>
        <w:tc>
          <w:tcPr>
            <w:tcW w:w="5505" w:type="dxa"/>
            <w:tcBorders>
              <w:top w:val="nil"/>
              <w:left w:val="nil"/>
              <w:bottom w:val="nil"/>
              <w:right w:val="nil"/>
            </w:tcBorders>
            <w:tcMar>
              <w:top w:w="0" w:type="dxa"/>
              <w:left w:w="53" w:type="dxa"/>
              <w:bottom w:w="0" w:type="dxa"/>
              <w:right w:w="53" w:type="dxa"/>
            </w:tcMar>
            <w:vAlign w:val="bottom"/>
          </w:tcPr>
          <w:p w:rsidR="00DE25E4" w:rsidRDefault="00AD30C9">
            <w:pPr>
              <w:keepNext/>
              <w:spacing w:before="55" w:after="30"/>
            </w:pPr>
            <w:r>
              <w:rPr>
                <w:color w:val="000000"/>
                <w:sz w:val="20"/>
              </w:rPr>
              <w:t> </w:t>
            </w:r>
          </w:p>
        </w:tc>
        <w:tc>
          <w:tcPr>
            <w:tcW w:w="1260" w:type="dxa"/>
            <w:tcBorders>
              <w:top w:val="single" w:sz="8" w:space="0" w:color="000000"/>
              <w:left w:val="nil"/>
              <w:bottom w:val="single" w:sz="8" w:space="0" w:color="000000"/>
              <w:right w:val="nil"/>
            </w:tcBorders>
            <w:tcMar>
              <w:top w:w="0" w:type="dxa"/>
              <w:left w:w="53" w:type="dxa"/>
              <w:bottom w:w="0" w:type="dxa"/>
              <w:right w:w="53" w:type="dxa"/>
            </w:tcMar>
            <w:vAlign w:val="bottom"/>
          </w:tcPr>
          <w:p w:rsidR="00DE25E4" w:rsidRDefault="00AD30C9">
            <w:pPr>
              <w:keepNext/>
              <w:spacing w:before="55" w:after="30"/>
              <w:jc w:val="center"/>
            </w:pPr>
            <w:r>
              <w:rPr>
                <w:b/>
                <w:color w:val="000000"/>
                <w:sz w:val="20"/>
              </w:rPr>
              <w:t>2022</w:t>
            </w:r>
          </w:p>
        </w:tc>
        <w:tc>
          <w:tcPr>
            <w:tcW w:w="75" w:type="dxa"/>
            <w:tcBorders>
              <w:top w:val="single" w:sz="8" w:space="0" w:color="000000"/>
              <w:left w:val="nil"/>
              <w:bottom w:val="nil"/>
              <w:right w:val="nil"/>
            </w:tcBorders>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single" w:sz="8" w:space="0" w:color="000000"/>
              <w:right w:val="nil"/>
            </w:tcBorders>
            <w:tcMar>
              <w:top w:w="0" w:type="dxa"/>
              <w:left w:w="53" w:type="dxa"/>
              <w:bottom w:w="0" w:type="dxa"/>
              <w:right w:w="53" w:type="dxa"/>
            </w:tcMar>
            <w:vAlign w:val="bottom"/>
          </w:tcPr>
          <w:p w:rsidR="00DE25E4" w:rsidRDefault="00AD30C9">
            <w:pPr>
              <w:keepNext/>
              <w:spacing w:before="55" w:after="30"/>
              <w:jc w:val="center"/>
            </w:pPr>
            <w:r>
              <w:rPr>
                <w:b/>
                <w:color w:val="000000"/>
                <w:sz w:val="20"/>
              </w:rPr>
              <w:t>2021</w:t>
            </w:r>
          </w:p>
        </w:tc>
        <w:tc>
          <w:tcPr>
            <w:tcW w:w="10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single" w:sz="8" w:space="0" w:color="000000"/>
              <w:right w:val="nil"/>
            </w:tcBorders>
            <w:tcMar>
              <w:top w:w="0" w:type="dxa"/>
              <w:left w:w="53" w:type="dxa"/>
              <w:bottom w:w="0" w:type="dxa"/>
              <w:right w:w="53" w:type="dxa"/>
            </w:tcMar>
            <w:vAlign w:val="bottom"/>
          </w:tcPr>
          <w:p w:rsidR="00DE25E4" w:rsidRDefault="00AD30C9">
            <w:pPr>
              <w:keepNext/>
              <w:spacing w:before="55" w:after="30"/>
              <w:jc w:val="center"/>
            </w:pPr>
            <w:r>
              <w:rPr>
                <w:b/>
                <w:color w:val="000000"/>
                <w:sz w:val="20"/>
              </w:rPr>
              <w:t>2022</w:t>
            </w:r>
          </w:p>
        </w:tc>
        <w:tc>
          <w:tcPr>
            <w:tcW w:w="75" w:type="dxa"/>
            <w:tcBorders>
              <w:top w:val="single" w:sz="8" w:space="0" w:color="000000"/>
              <w:left w:val="nil"/>
              <w:bottom w:val="nil"/>
              <w:right w:val="nil"/>
            </w:tcBorders>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single" w:sz="8" w:space="0" w:color="000000"/>
              <w:right w:val="nil"/>
            </w:tcBorders>
            <w:tcMar>
              <w:top w:w="0" w:type="dxa"/>
              <w:left w:w="53" w:type="dxa"/>
              <w:bottom w:w="0" w:type="dxa"/>
              <w:right w:w="53" w:type="dxa"/>
            </w:tcMar>
            <w:vAlign w:val="bottom"/>
          </w:tcPr>
          <w:p w:rsidR="00DE25E4" w:rsidRDefault="00AD30C9">
            <w:pPr>
              <w:keepNext/>
              <w:spacing w:before="55" w:after="30"/>
              <w:jc w:val="center"/>
            </w:pPr>
            <w:r>
              <w:rPr>
                <w:b/>
                <w:color w:val="000000"/>
                <w:sz w:val="20"/>
              </w:rPr>
              <w:t>2021</w:t>
            </w:r>
          </w:p>
        </w:tc>
      </w:tr>
      <w:tr w:rsidR="00DE25E4">
        <w:trPr>
          <w:cantSplit/>
          <w:trHeight w:hRule="exact" w:val="240"/>
          <w:jc w:val="center"/>
        </w:trPr>
        <w:tc>
          <w:tcPr>
            <w:tcW w:w="550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5295" w:type="dxa"/>
            <w:gridSpan w:val="7"/>
            <w:tcBorders>
              <w:top w:val="nil"/>
              <w:left w:val="nil"/>
              <w:bottom w:val="nil"/>
              <w:right w:val="nil"/>
            </w:tcBorders>
            <w:tcMar>
              <w:top w:w="0" w:type="dxa"/>
              <w:left w:w="53" w:type="dxa"/>
              <w:bottom w:w="0" w:type="dxa"/>
              <w:right w:w="53" w:type="dxa"/>
            </w:tcMar>
            <w:vAlign w:val="bottom"/>
          </w:tcPr>
          <w:p w:rsidR="00DE25E4" w:rsidRDefault="00AD30C9">
            <w:pPr>
              <w:keepNext/>
              <w:spacing w:before="55" w:after="30"/>
              <w:jc w:val="center"/>
            </w:pPr>
            <w:r>
              <w:rPr>
                <w:i/>
                <w:color w:val="000000"/>
                <w:sz w:val="20"/>
              </w:rPr>
              <w:t>(in millions)</w:t>
            </w:r>
          </w:p>
        </w:tc>
      </w:tr>
      <w:tr w:rsidR="00DE25E4">
        <w:trPr>
          <w:cantSplit/>
          <w:trHeight w:hRule="exact" w:val="300"/>
          <w:jc w:val="center"/>
        </w:trPr>
        <w:tc>
          <w:tcPr>
            <w:tcW w:w="550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b/>
                <w:color w:val="000000"/>
                <w:sz w:val="20"/>
              </w:rPr>
              <w:t xml:space="preserve">Segment Sales </w:t>
            </w:r>
          </w:p>
        </w:tc>
        <w:tc>
          <w:tcPr>
            <w:tcW w:w="126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r>
      <w:tr w:rsidR="00DE25E4">
        <w:trPr>
          <w:cantSplit/>
          <w:trHeight w:hRule="exact" w:val="300"/>
          <w:jc w:val="center"/>
        </w:trPr>
        <w:tc>
          <w:tcPr>
            <w:tcW w:w="550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ind w:left="135"/>
            </w:pPr>
            <w:r>
              <w:rPr>
                <w:color w:val="000000"/>
                <w:sz w:val="20"/>
              </w:rPr>
              <w:t>Driveline</w:t>
            </w: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677"/>
                <w:tab w:val="left" w:pos="1192"/>
              </w:tabs>
              <w:spacing w:before="75" w:after="30"/>
              <w:jc w:val="right"/>
            </w:pPr>
            <w:r>
              <w:rPr>
                <w:b/>
                <w:color w:val="000000"/>
                <w:sz w:val="20"/>
              </w:rPr>
              <w:t>$</w:t>
            </w:r>
            <w:r>
              <w:rPr>
                <w:b/>
                <w:color w:val="000000"/>
                <w:sz w:val="20"/>
              </w:rPr>
              <w:tab/>
              <w:t>967.2</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677"/>
                <w:tab w:val="left" w:pos="1192"/>
              </w:tabs>
              <w:spacing w:before="75" w:after="30"/>
              <w:jc w:val="right"/>
            </w:pPr>
            <w:r>
              <w:rPr>
                <w:color w:val="000000"/>
                <w:sz w:val="20"/>
              </w:rPr>
              <w:t>$</w:t>
            </w:r>
            <w:r>
              <w:rPr>
                <w:color w:val="000000"/>
                <w:sz w:val="20"/>
              </w:rPr>
              <w:tab/>
              <w:t>913.0</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527"/>
                <w:tab w:val="left" w:pos="1192"/>
              </w:tabs>
              <w:spacing w:before="75" w:after="30"/>
              <w:jc w:val="right"/>
            </w:pPr>
            <w:r>
              <w:rPr>
                <w:b/>
                <w:color w:val="000000"/>
                <w:sz w:val="20"/>
              </w:rPr>
              <w:t>$</w:t>
            </w:r>
            <w:r>
              <w:rPr>
                <w:b/>
                <w:color w:val="000000"/>
                <w:sz w:val="20"/>
              </w:rPr>
              <w:tab/>
              <w:t>4,130.8</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527"/>
                <w:tab w:val="left" w:pos="1192"/>
              </w:tabs>
              <w:spacing w:before="75" w:after="30"/>
              <w:jc w:val="right"/>
            </w:pPr>
            <w:r>
              <w:rPr>
                <w:color w:val="000000"/>
                <w:sz w:val="20"/>
              </w:rPr>
              <w:t>$</w:t>
            </w:r>
            <w:r>
              <w:rPr>
                <w:color w:val="000000"/>
                <w:sz w:val="20"/>
              </w:rPr>
              <w:tab/>
              <w:t>3,744.9</w:t>
            </w:r>
            <w:r>
              <w:rPr>
                <w:color w:val="000000"/>
                <w:sz w:val="20"/>
              </w:rPr>
              <w:tab/>
            </w:r>
          </w:p>
        </w:tc>
      </w:tr>
      <w:tr w:rsidR="00DE25E4">
        <w:trPr>
          <w:cantSplit/>
          <w:trHeight w:hRule="exact" w:val="300"/>
          <w:jc w:val="center"/>
        </w:trPr>
        <w:tc>
          <w:tcPr>
            <w:tcW w:w="550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ind w:left="135"/>
            </w:pPr>
            <w:r>
              <w:rPr>
                <w:color w:val="000000"/>
                <w:sz w:val="20"/>
              </w:rPr>
              <w:t>Metal Forming</w:t>
            </w:r>
          </w:p>
        </w:tc>
        <w:tc>
          <w:tcPr>
            <w:tcW w:w="12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DE25E4" w:rsidRDefault="00AD30C9">
            <w:pPr>
              <w:keepNext/>
              <w:tabs>
                <w:tab w:val="left" w:pos="677"/>
                <w:tab w:val="left" w:pos="1192"/>
              </w:tabs>
              <w:spacing w:before="75" w:after="30"/>
              <w:jc w:val="right"/>
            </w:pPr>
            <w:r>
              <w:rPr>
                <w:b/>
                <w:color w:val="000000"/>
                <w:sz w:val="20"/>
              </w:rPr>
              <w:tab/>
              <w:t>527.1</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DE25E4" w:rsidRDefault="00AD30C9">
            <w:pPr>
              <w:keepNext/>
              <w:tabs>
                <w:tab w:val="left" w:pos="677"/>
                <w:tab w:val="left" w:pos="1192"/>
              </w:tabs>
              <w:spacing w:before="75" w:after="30"/>
              <w:jc w:val="right"/>
            </w:pPr>
            <w:r>
              <w:rPr>
                <w:color w:val="000000"/>
                <w:sz w:val="20"/>
              </w:rPr>
              <w:tab/>
              <w:t>410.1</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DE25E4" w:rsidRDefault="00AD30C9">
            <w:pPr>
              <w:keepNext/>
              <w:tabs>
                <w:tab w:val="left" w:pos="527"/>
                <w:tab w:val="left" w:pos="1192"/>
              </w:tabs>
              <w:spacing w:before="75" w:after="30"/>
              <w:jc w:val="right"/>
            </w:pPr>
            <w:r>
              <w:rPr>
                <w:b/>
                <w:color w:val="000000"/>
                <w:sz w:val="20"/>
              </w:rPr>
              <w:tab/>
              <w:t>2,113.0</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DE25E4" w:rsidRDefault="00AD30C9">
            <w:pPr>
              <w:keepNext/>
              <w:tabs>
                <w:tab w:val="left" w:pos="527"/>
                <w:tab w:val="left" w:pos="1192"/>
              </w:tabs>
              <w:spacing w:before="75" w:after="30"/>
              <w:jc w:val="right"/>
            </w:pPr>
            <w:r>
              <w:rPr>
                <w:color w:val="000000"/>
                <w:sz w:val="20"/>
              </w:rPr>
              <w:tab/>
              <w:t>1,762.2</w:t>
            </w:r>
            <w:r>
              <w:rPr>
                <w:color w:val="000000"/>
                <w:sz w:val="20"/>
              </w:rPr>
              <w:tab/>
            </w:r>
          </w:p>
        </w:tc>
      </w:tr>
      <w:tr w:rsidR="00DE25E4">
        <w:trPr>
          <w:cantSplit/>
          <w:trHeight w:hRule="exact" w:val="300"/>
          <w:jc w:val="center"/>
        </w:trPr>
        <w:tc>
          <w:tcPr>
            <w:tcW w:w="550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55" w:after="30"/>
            </w:pPr>
            <w:r>
              <w:rPr>
                <w:b/>
                <w:color w:val="000000"/>
                <w:sz w:val="20"/>
              </w:rPr>
              <w:t xml:space="preserve">Total Sales </w:t>
            </w:r>
          </w:p>
        </w:tc>
        <w:tc>
          <w:tcPr>
            <w:tcW w:w="126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527"/>
                <w:tab w:val="left" w:pos="1192"/>
              </w:tabs>
              <w:spacing w:before="55" w:after="30"/>
              <w:jc w:val="right"/>
            </w:pPr>
            <w:r>
              <w:rPr>
                <w:b/>
                <w:color w:val="000000"/>
                <w:sz w:val="20"/>
              </w:rPr>
              <w:tab/>
              <w:t>1,494.3</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527"/>
                <w:tab w:val="left" w:pos="1192"/>
              </w:tabs>
              <w:spacing w:before="55" w:after="30"/>
              <w:jc w:val="right"/>
            </w:pPr>
            <w:r>
              <w:rPr>
                <w:color w:val="000000"/>
                <w:sz w:val="20"/>
              </w:rPr>
              <w:tab/>
              <w:t>1,323.1</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527"/>
                <w:tab w:val="left" w:pos="1192"/>
              </w:tabs>
              <w:spacing w:before="55" w:after="30"/>
              <w:jc w:val="right"/>
            </w:pPr>
            <w:r>
              <w:rPr>
                <w:b/>
                <w:color w:val="000000"/>
                <w:sz w:val="20"/>
              </w:rPr>
              <w:tab/>
              <w:t>6,243.8</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527"/>
                <w:tab w:val="left" w:pos="1192"/>
              </w:tabs>
              <w:spacing w:before="55" w:after="30"/>
              <w:jc w:val="right"/>
            </w:pPr>
            <w:r>
              <w:rPr>
                <w:color w:val="000000"/>
                <w:sz w:val="20"/>
              </w:rPr>
              <w:tab/>
              <w:t>5,507.1</w:t>
            </w:r>
            <w:r>
              <w:rPr>
                <w:color w:val="000000"/>
                <w:sz w:val="20"/>
              </w:rPr>
              <w:tab/>
            </w:r>
          </w:p>
        </w:tc>
      </w:tr>
      <w:tr w:rsidR="00DE25E4">
        <w:trPr>
          <w:cantSplit/>
          <w:trHeight w:hRule="exact" w:val="300"/>
          <w:jc w:val="center"/>
        </w:trPr>
        <w:tc>
          <w:tcPr>
            <w:tcW w:w="550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ind w:left="135"/>
            </w:pPr>
            <w:r>
              <w:rPr>
                <w:color w:val="000000"/>
                <w:sz w:val="20"/>
              </w:rPr>
              <w:t xml:space="preserve">Intersegment Sales </w:t>
            </w:r>
          </w:p>
        </w:tc>
        <w:tc>
          <w:tcPr>
            <w:tcW w:w="12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DE25E4" w:rsidRDefault="00AD30C9">
            <w:pPr>
              <w:keepNext/>
              <w:tabs>
                <w:tab w:val="left" w:pos="591"/>
              </w:tabs>
              <w:spacing w:before="75" w:after="30"/>
              <w:jc w:val="right"/>
            </w:pPr>
            <w:r>
              <w:rPr>
                <w:b/>
                <w:color w:val="000000"/>
                <w:sz w:val="20"/>
              </w:rPr>
              <w:tab/>
              <w:t>(101.6)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DE25E4" w:rsidRDefault="00AD30C9">
            <w:pPr>
              <w:keepNext/>
              <w:tabs>
                <w:tab w:val="left" w:pos="691"/>
              </w:tabs>
              <w:spacing w:before="75" w:after="30"/>
              <w:jc w:val="right"/>
            </w:pPr>
            <w:r>
              <w:rPr>
                <w:color w:val="000000"/>
                <w:sz w:val="20"/>
              </w:rPr>
              <w:tab/>
              <w:t>(88.0)</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DE25E4" w:rsidRDefault="00AD30C9">
            <w:pPr>
              <w:keepNext/>
              <w:tabs>
                <w:tab w:val="left" w:pos="591"/>
              </w:tabs>
              <w:spacing w:before="75" w:after="30"/>
              <w:jc w:val="right"/>
            </w:pPr>
            <w:r>
              <w:rPr>
                <w:b/>
                <w:color w:val="000000"/>
                <w:sz w:val="20"/>
              </w:rPr>
              <w:tab/>
              <w:t>(441.4)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DE25E4" w:rsidRDefault="00AD30C9">
            <w:pPr>
              <w:keepNext/>
              <w:tabs>
                <w:tab w:val="left" w:pos="591"/>
              </w:tabs>
              <w:spacing w:before="75" w:after="30"/>
              <w:jc w:val="right"/>
            </w:pPr>
            <w:r>
              <w:rPr>
                <w:color w:val="000000"/>
                <w:sz w:val="20"/>
              </w:rPr>
              <w:tab/>
              <w:t>(350.5)</w:t>
            </w:r>
          </w:p>
        </w:tc>
      </w:tr>
      <w:tr w:rsidR="00DE25E4">
        <w:trPr>
          <w:cantSplit/>
          <w:trHeight w:hRule="exact" w:val="300"/>
          <w:jc w:val="center"/>
        </w:trPr>
        <w:tc>
          <w:tcPr>
            <w:tcW w:w="550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55" w:after="30"/>
            </w:pPr>
            <w:r>
              <w:rPr>
                <w:b/>
                <w:color w:val="000000"/>
                <w:sz w:val="20"/>
              </w:rPr>
              <w:t>Net External Sales</w:t>
            </w:r>
          </w:p>
        </w:tc>
        <w:tc>
          <w:tcPr>
            <w:tcW w:w="126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527"/>
                <w:tab w:val="left" w:pos="1192"/>
              </w:tabs>
              <w:spacing w:before="55" w:after="30"/>
              <w:jc w:val="right"/>
            </w:pPr>
            <w:r>
              <w:rPr>
                <w:b/>
                <w:color w:val="000000"/>
                <w:sz w:val="20"/>
              </w:rPr>
              <w:t>$</w:t>
            </w:r>
            <w:r>
              <w:rPr>
                <w:b/>
                <w:color w:val="000000"/>
                <w:sz w:val="20"/>
              </w:rPr>
              <w:tab/>
            </w:r>
            <w:r>
              <w:rPr>
                <w:b/>
                <w:color w:val="000000"/>
                <w:sz w:val="20"/>
              </w:rPr>
              <w:t>1,392.7</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527"/>
                <w:tab w:val="left" w:pos="1192"/>
              </w:tabs>
              <w:spacing w:before="55" w:after="30"/>
              <w:jc w:val="right"/>
            </w:pPr>
            <w:r>
              <w:rPr>
                <w:color w:val="000000"/>
                <w:sz w:val="20"/>
              </w:rPr>
              <w:t>$</w:t>
            </w:r>
            <w:r>
              <w:rPr>
                <w:color w:val="000000"/>
                <w:sz w:val="20"/>
              </w:rPr>
              <w:tab/>
              <w:t>1,235.1</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527"/>
                <w:tab w:val="left" w:pos="1192"/>
              </w:tabs>
              <w:spacing w:before="55" w:after="30"/>
              <w:jc w:val="right"/>
            </w:pPr>
            <w:r>
              <w:rPr>
                <w:b/>
                <w:color w:val="000000"/>
                <w:sz w:val="20"/>
              </w:rPr>
              <w:t>$</w:t>
            </w:r>
            <w:r>
              <w:rPr>
                <w:b/>
                <w:color w:val="000000"/>
                <w:sz w:val="20"/>
              </w:rPr>
              <w:tab/>
              <w:t>5,802.4</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527"/>
                <w:tab w:val="left" w:pos="1192"/>
              </w:tabs>
              <w:spacing w:before="55" w:after="30"/>
              <w:jc w:val="right"/>
            </w:pPr>
            <w:r>
              <w:rPr>
                <w:color w:val="000000"/>
                <w:sz w:val="20"/>
              </w:rPr>
              <w:t>$</w:t>
            </w:r>
            <w:r>
              <w:rPr>
                <w:color w:val="000000"/>
                <w:sz w:val="20"/>
              </w:rPr>
              <w:tab/>
              <w:t>5,156.6</w:t>
            </w:r>
            <w:r>
              <w:rPr>
                <w:color w:val="000000"/>
                <w:sz w:val="20"/>
              </w:rPr>
              <w:tab/>
            </w:r>
          </w:p>
        </w:tc>
      </w:tr>
      <w:tr w:rsidR="00DE25E4">
        <w:trPr>
          <w:cantSplit/>
          <w:trHeight w:hRule="exact" w:val="135"/>
          <w:jc w:val="center"/>
        </w:trPr>
        <w:tc>
          <w:tcPr>
            <w:tcW w:w="550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double" w:sz="8" w:space="0" w:color="000000"/>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double" w:sz="8" w:space="0" w:color="000000"/>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double" w:sz="8" w:space="0" w:color="000000"/>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double" w:sz="8" w:space="0" w:color="000000"/>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r>
      <w:tr w:rsidR="00DE25E4">
        <w:trPr>
          <w:cantSplit/>
          <w:trHeight w:hRule="exact" w:val="300"/>
          <w:jc w:val="center"/>
        </w:trPr>
        <w:tc>
          <w:tcPr>
            <w:tcW w:w="550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rPr>
                <w:b/>
                <w:sz w:val="20"/>
              </w:rPr>
            </w:pPr>
            <w:r>
              <w:rPr>
                <w:b/>
                <w:sz w:val="20"/>
              </w:rPr>
              <w:t>Segment Adjusted EBITDA</w:t>
            </w:r>
            <w:r>
              <w:rPr>
                <w:b/>
                <w:sz w:val="20"/>
                <w:vertAlign w:val="superscript"/>
              </w:rPr>
              <w:t>(a)</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r>
      <w:tr w:rsidR="00DE25E4">
        <w:trPr>
          <w:cantSplit/>
          <w:trHeight w:hRule="exact" w:val="300"/>
          <w:jc w:val="center"/>
        </w:trPr>
        <w:tc>
          <w:tcPr>
            <w:tcW w:w="550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ind w:left="135"/>
            </w:pPr>
            <w:r>
              <w:rPr>
                <w:color w:val="000000"/>
                <w:sz w:val="20"/>
              </w:rPr>
              <w:t>Driveline</w:t>
            </w: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77"/>
                <w:tab w:val="left" w:pos="1192"/>
              </w:tabs>
              <w:spacing w:before="75" w:after="30"/>
              <w:jc w:val="right"/>
            </w:pPr>
            <w:r>
              <w:rPr>
                <w:b/>
                <w:color w:val="000000"/>
                <w:sz w:val="20"/>
              </w:rPr>
              <w:t>$</w:t>
            </w:r>
            <w:r>
              <w:rPr>
                <w:b/>
                <w:color w:val="000000"/>
                <w:sz w:val="20"/>
              </w:rPr>
              <w:tab/>
              <w:t>126.7</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77"/>
                <w:tab w:val="left" w:pos="1192"/>
              </w:tabs>
              <w:spacing w:before="75" w:after="30"/>
              <w:jc w:val="right"/>
            </w:pPr>
            <w:r>
              <w:rPr>
                <w:color w:val="000000"/>
                <w:sz w:val="20"/>
              </w:rPr>
              <w:t>$</w:t>
            </w:r>
            <w:r>
              <w:rPr>
                <w:color w:val="000000"/>
                <w:sz w:val="20"/>
              </w:rPr>
              <w:tab/>
              <w:t>127.5</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77"/>
                <w:tab w:val="left" w:pos="1192"/>
              </w:tabs>
              <w:spacing w:before="75" w:after="30"/>
              <w:jc w:val="right"/>
            </w:pPr>
            <w:r>
              <w:rPr>
                <w:b/>
                <w:color w:val="000000"/>
                <w:sz w:val="20"/>
              </w:rPr>
              <w:t>$</w:t>
            </w:r>
            <w:r>
              <w:rPr>
                <w:b/>
                <w:color w:val="000000"/>
                <w:sz w:val="20"/>
              </w:rPr>
              <w:tab/>
              <w:t>547.0</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260"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677"/>
                <w:tab w:val="left" w:pos="1192"/>
              </w:tabs>
              <w:spacing w:before="75" w:after="30"/>
              <w:jc w:val="right"/>
            </w:pPr>
            <w:r>
              <w:rPr>
                <w:color w:val="000000"/>
                <w:sz w:val="20"/>
              </w:rPr>
              <w:t>$</w:t>
            </w:r>
            <w:r>
              <w:rPr>
                <w:color w:val="000000"/>
                <w:sz w:val="20"/>
              </w:rPr>
              <w:tab/>
            </w:r>
            <w:r>
              <w:rPr>
                <w:color w:val="000000"/>
                <w:sz w:val="20"/>
              </w:rPr>
              <w:t>577.7</w:t>
            </w:r>
            <w:r>
              <w:rPr>
                <w:color w:val="000000"/>
                <w:sz w:val="20"/>
              </w:rPr>
              <w:tab/>
            </w:r>
          </w:p>
        </w:tc>
      </w:tr>
      <w:tr w:rsidR="00DE25E4">
        <w:trPr>
          <w:cantSplit/>
          <w:trHeight w:hRule="exact" w:val="300"/>
          <w:jc w:val="center"/>
        </w:trPr>
        <w:tc>
          <w:tcPr>
            <w:tcW w:w="550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ind w:left="135"/>
            </w:pPr>
            <w:r>
              <w:rPr>
                <w:color w:val="000000"/>
                <w:sz w:val="20"/>
              </w:rPr>
              <w:t>Metal Forming</w:t>
            </w:r>
          </w:p>
        </w:tc>
        <w:tc>
          <w:tcPr>
            <w:tcW w:w="126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b/>
                <w:color w:val="000000"/>
                <w:sz w:val="20"/>
              </w:rPr>
              <w:tab/>
              <w:t>31.0</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777"/>
                <w:tab w:val="left" w:pos="1192"/>
              </w:tabs>
              <w:spacing w:before="75" w:after="30"/>
              <w:jc w:val="right"/>
            </w:pPr>
            <w:r>
              <w:rPr>
                <w:color w:val="000000"/>
                <w:sz w:val="20"/>
              </w:rPr>
              <w:tab/>
              <w:t>37.1</w:t>
            </w:r>
            <w:r>
              <w:rPr>
                <w:color w:val="000000"/>
                <w:sz w:val="20"/>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677"/>
                <w:tab w:val="left" w:pos="1192"/>
              </w:tabs>
              <w:spacing w:before="75" w:after="30"/>
              <w:jc w:val="right"/>
            </w:pPr>
            <w:r>
              <w:rPr>
                <w:b/>
                <w:color w:val="000000"/>
                <w:sz w:val="20"/>
              </w:rPr>
              <w:tab/>
              <w:t>200.3</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26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677"/>
                <w:tab w:val="left" w:pos="1192"/>
              </w:tabs>
              <w:spacing w:before="75" w:after="30"/>
              <w:jc w:val="right"/>
            </w:pPr>
            <w:r>
              <w:rPr>
                <w:color w:val="000000"/>
                <w:sz w:val="20"/>
              </w:rPr>
              <w:tab/>
              <w:t>255.6</w:t>
            </w:r>
            <w:r>
              <w:rPr>
                <w:color w:val="000000"/>
                <w:sz w:val="20"/>
              </w:rPr>
              <w:tab/>
            </w:r>
          </w:p>
        </w:tc>
      </w:tr>
      <w:tr w:rsidR="00DE25E4">
        <w:trPr>
          <w:cantSplit/>
          <w:trHeight w:hRule="exact" w:val="300"/>
          <w:jc w:val="center"/>
        </w:trPr>
        <w:tc>
          <w:tcPr>
            <w:tcW w:w="550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spacing w:before="55" w:after="30"/>
            </w:pPr>
            <w:r>
              <w:rPr>
                <w:b/>
                <w:color w:val="000000"/>
                <w:sz w:val="20"/>
              </w:rPr>
              <w:t>Total Segment Adjusted EBITDA</w:t>
            </w:r>
          </w:p>
        </w:tc>
        <w:tc>
          <w:tcPr>
            <w:tcW w:w="126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tcPr>
          <w:p w:rsidR="00DE25E4" w:rsidRDefault="00AD30C9">
            <w:pPr>
              <w:tabs>
                <w:tab w:val="left" w:pos="677"/>
                <w:tab w:val="left" w:pos="1192"/>
              </w:tabs>
              <w:spacing w:before="55" w:after="30"/>
              <w:jc w:val="right"/>
            </w:pPr>
            <w:r>
              <w:rPr>
                <w:b/>
                <w:color w:val="000000"/>
                <w:sz w:val="20"/>
              </w:rPr>
              <w:t>$</w:t>
            </w:r>
            <w:r>
              <w:rPr>
                <w:b/>
                <w:color w:val="000000"/>
                <w:sz w:val="20"/>
              </w:rPr>
              <w:tab/>
              <w:t>157.7</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tc>
        <w:tc>
          <w:tcPr>
            <w:tcW w:w="126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tcPr>
          <w:p w:rsidR="00DE25E4" w:rsidRDefault="00AD30C9">
            <w:pPr>
              <w:tabs>
                <w:tab w:val="left" w:pos="677"/>
                <w:tab w:val="left" w:pos="1192"/>
              </w:tabs>
              <w:spacing w:before="55" w:after="30"/>
              <w:jc w:val="right"/>
            </w:pPr>
            <w:r>
              <w:rPr>
                <w:color w:val="000000"/>
                <w:sz w:val="20"/>
              </w:rPr>
              <w:t>$</w:t>
            </w:r>
            <w:r>
              <w:rPr>
                <w:color w:val="000000"/>
                <w:sz w:val="20"/>
              </w:rPr>
              <w:tab/>
              <w:t>164.6</w:t>
            </w:r>
            <w:r>
              <w:rPr>
                <w:color w:val="000000"/>
                <w:sz w:val="20"/>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tc>
        <w:tc>
          <w:tcPr>
            <w:tcW w:w="126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tcPr>
          <w:p w:rsidR="00DE25E4" w:rsidRDefault="00AD30C9">
            <w:pPr>
              <w:tabs>
                <w:tab w:val="left" w:pos="677"/>
                <w:tab w:val="left" w:pos="1192"/>
              </w:tabs>
              <w:spacing w:before="55" w:after="30"/>
              <w:jc w:val="right"/>
            </w:pPr>
            <w:r>
              <w:rPr>
                <w:b/>
                <w:color w:val="000000"/>
                <w:sz w:val="20"/>
              </w:rPr>
              <w:t>$</w:t>
            </w:r>
            <w:r>
              <w:rPr>
                <w:b/>
                <w:color w:val="000000"/>
                <w:sz w:val="20"/>
              </w:rPr>
              <w:tab/>
              <w:t>747.3</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tc>
        <w:tc>
          <w:tcPr>
            <w:tcW w:w="126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tcPr>
          <w:p w:rsidR="00DE25E4" w:rsidRDefault="00AD30C9">
            <w:pPr>
              <w:tabs>
                <w:tab w:val="left" w:pos="677"/>
                <w:tab w:val="left" w:pos="1192"/>
              </w:tabs>
              <w:spacing w:before="55" w:after="30"/>
              <w:jc w:val="right"/>
            </w:pPr>
            <w:r>
              <w:rPr>
                <w:color w:val="000000"/>
                <w:sz w:val="20"/>
              </w:rPr>
              <w:t>$</w:t>
            </w:r>
            <w:r>
              <w:rPr>
                <w:color w:val="000000"/>
                <w:sz w:val="20"/>
              </w:rPr>
              <w:tab/>
              <w:t>833.3</w:t>
            </w:r>
            <w:r>
              <w:rPr>
                <w:color w:val="000000"/>
                <w:sz w:val="20"/>
              </w:rPr>
              <w:tab/>
            </w:r>
          </w:p>
        </w:tc>
      </w:tr>
    </w:tbl>
    <w:p w:rsidR="00DE25E4" w:rsidRDefault="00DE25E4">
      <w:pPr>
        <w:spacing w:line="288" w:lineRule="auto"/>
        <w:jc w:val="center"/>
        <w:rPr>
          <w:sz w:val="20"/>
        </w:rPr>
      </w:pPr>
    </w:p>
    <w:p w:rsidR="00DE25E4" w:rsidRDefault="00DE25E4">
      <w:pPr>
        <w:spacing w:line="288" w:lineRule="auto"/>
        <w:jc w:val="center"/>
        <w:rPr>
          <w:b/>
          <w:sz w:val="20"/>
        </w:rPr>
      </w:pPr>
    </w:p>
    <w:p w:rsidR="00DE25E4" w:rsidRDefault="00DE25E4">
      <w:pPr>
        <w:spacing w:line="288" w:lineRule="auto"/>
        <w:jc w:val="center"/>
        <w:rPr>
          <w:b/>
          <w:color w:val="000000"/>
          <w:sz w:val="20"/>
          <w:shd w:val="clear" w:color="auto" w:fill="FFFF00"/>
        </w:rPr>
      </w:pPr>
    </w:p>
    <w:p w:rsidR="00DE25E4" w:rsidRDefault="00AD30C9">
      <w:pPr>
        <w:pageBreakBefore/>
        <w:spacing w:line="288" w:lineRule="auto"/>
        <w:jc w:val="center"/>
        <w:rPr>
          <w:sz w:val="20"/>
        </w:rPr>
      </w:pPr>
      <w:r>
        <w:rPr>
          <w:b/>
          <w:sz w:val="20"/>
        </w:rPr>
        <w:lastRenderedPageBreak/>
        <w:t>Full Year 2023 Financial Outlook</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5"/>
        <w:gridCol w:w="1425"/>
        <w:gridCol w:w="285"/>
        <w:gridCol w:w="1425"/>
      </w:tblGrid>
      <w:tr w:rsidR="00DE25E4">
        <w:trPr>
          <w:cantSplit/>
          <w:trHeight w:hRule="exact" w:val="285"/>
          <w:jc w:val="center"/>
        </w:trPr>
        <w:tc>
          <w:tcPr>
            <w:tcW w:w="520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3135" w:type="dxa"/>
            <w:gridSpan w:val="3"/>
            <w:tcBorders>
              <w:top w:val="nil"/>
              <w:left w:val="nil"/>
              <w:bottom w:val="single" w:sz="8" w:space="0" w:color="000000"/>
              <w:right w:val="nil"/>
            </w:tcBorders>
            <w:tcMar>
              <w:top w:w="0" w:type="dxa"/>
              <w:left w:w="53" w:type="dxa"/>
              <w:bottom w:w="0" w:type="dxa"/>
              <w:right w:w="53" w:type="dxa"/>
            </w:tcMar>
            <w:vAlign w:val="bottom"/>
          </w:tcPr>
          <w:p w:rsidR="00DE25E4" w:rsidRDefault="00AD30C9">
            <w:pPr>
              <w:keepNext/>
              <w:spacing w:before="75" w:after="30"/>
              <w:jc w:val="center"/>
            </w:pPr>
            <w:r>
              <w:rPr>
                <w:b/>
                <w:color w:val="000000"/>
                <w:sz w:val="20"/>
              </w:rPr>
              <w:t>Adjusted EBITDA</w:t>
            </w:r>
          </w:p>
        </w:tc>
      </w:tr>
      <w:tr w:rsidR="00DE25E4">
        <w:trPr>
          <w:cantSplit/>
          <w:trHeight w:hRule="exact" w:val="285"/>
          <w:jc w:val="center"/>
        </w:trPr>
        <w:tc>
          <w:tcPr>
            <w:tcW w:w="520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425" w:type="dxa"/>
            <w:tcBorders>
              <w:top w:val="nil"/>
              <w:left w:val="nil"/>
              <w:bottom w:val="single" w:sz="8" w:space="0" w:color="000000"/>
              <w:right w:val="nil"/>
            </w:tcBorders>
            <w:tcMar>
              <w:top w:w="0" w:type="dxa"/>
              <w:left w:w="53" w:type="dxa"/>
              <w:bottom w:w="0" w:type="dxa"/>
              <w:right w:w="53" w:type="dxa"/>
            </w:tcMar>
            <w:vAlign w:val="bottom"/>
          </w:tcPr>
          <w:p w:rsidR="00DE25E4" w:rsidRDefault="00AD30C9">
            <w:pPr>
              <w:keepNext/>
              <w:spacing w:before="55" w:after="30"/>
              <w:jc w:val="center"/>
            </w:pPr>
            <w:r>
              <w:rPr>
                <w:b/>
                <w:color w:val="000000"/>
                <w:sz w:val="20"/>
              </w:rPr>
              <w:t>Low End</w:t>
            </w:r>
          </w:p>
        </w:tc>
        <w:tc>
          <w:tcPr>
            <w:tcW w:w="285" w:type="dxa"/>
            <w:tcBorders>
              <w:top w:val="single" w:sz="8" w:space="0" w:color="000000"/>
              <w:left w:val="nil"/>
              <w:bottom w:val="nil"/>
              <w:right w:val="nil"/>
            </w:tcBorders>
            <w:tcMar>
              <w:top w:w="0" w:type="dxa"/>
              <w:left w:w="0" w:type="dxa"/>
              <w:bottom w:w="0" w:type="dxa"/>
              <w:right w:w="0" w:type="dxa"/>
            </w:tcMar>
            <w:vAlign w:val="bottom"/>
          </w:tcPr>
          <w:p w:rsidR="00DE25E4" w:rsidRDefault="00DE25E4">
            <w:pPr>
              <w:keepNext/>
            </w:pPr>
          </w:p>
        </w:tc>
        <w:tc>
          <w:tcPr>
            <w:tcW w:w="1425" w:type="dxa"/>
            <w:tcBorders>
              <w:top w:val="single" w:sz="8" w:space="0" w:color="000000"/>
              <w:left w:val="nil"/>
              <w:bottom w:val="single" w:sz="8" w:space="0" w:color="000000"/>
              <w:right w:val="nil"/>
            </w:tcBorders>
            <w:tcMar>
              <w:top w:w="0" w:type="dxa"/>
              <w:left w:w="53" w:type="dxa"/>
              <w:bottom w:w="0" w:type="dxa"/>
              <w:right w:w="53" w:type="dxa"/>
            </w:tcMar>
            <w:vAlign w:val="bottom"/>
          </w:tcPr>
          <w:p w:rsidR="00DE25E4" w:rsidRDefault="00AD30C9">
            <w:pPr>
              <w:keepNext/>
              <w:spacing w:before="55" w:after="30"/>
              <w:jc w:val="center"/>
            </w:pPr>
            <w:r>
              <w:rPr>
                <w:b/>
                <w:color w:val="000000"/>
                <w:sz w:val="20"/>
              </w:rPr>
              <w:t>High End</w:t>
            </w:r>
          </w:p>
        </w:tc>
      </w:tr>
      <w:tr w:rsidR="00DE25E4">
        <w:trPr>
          <w:cantSplit/>
          <w:trHeight w:hRule="exact" w:val="300"/>
          <w:jc w:val="center"/>
        </w:trPr>
        <w:tc>
          <w:tcPr>
            <w:tcW w:w="5205" w:type="dxa"/>
            <w:tcBorders>
              <w:top w:val="nil"/>
              <w:left w:val="nil"/>
              <w:bottom w:val="nil"/>
              <w:right w:val="nil"/>
            </w:tcBorders>
            <w:tcMar>
              <w:top w:w="0" w:type="dxa"/>
              <w:left w:w="53" w:type="dxa"/>
              <w:bottom w:w="0" w:type="dxa"/>
              <w:right w:w="53" w:type="dxa"/>
            </w:tcMar>
            <w:vAlign w:val="bottom"/>
          </w:tcPr>
          <w:p w:rsidR="00DE25E4" w:rsidRDefault="00AD30C9">
            <w:pPr>
              <w:keepNext/>
              <w:spacing w:before="55" w:after="30"/>
            </w:pPr>
            <w:r>
              <w:rPr>
                <w:color w:val="000000"/>
                <w:sz w:val="20"/>
              </w:rPr>
              <w:t> </w:t>
            </w:r>
          </w:p>
        </w:tc>
        <w:tc>
          <w:tcPr>
            <w:tcW w:w="3135" w:type="dxa"/>
            <w:gridSpan w:val="3"/>
            <w:tcBorders>
              <w:top w:val="nil"/>
              <w:left w:val="nil"/>
              <w:bottom w:val="nil"/>
              <w:right w:val="nil"/>
            </w:tcBorders>
            <w:tcMar>
              <w:top w:w="0" w:type="dxa"/>
              <w:left w:w="53" w:type="dxa"/>
              <w:bottom w:w="0" w:type="dxa"/>
              <w:right w:w="53" w:type="dxa"/>
            </w:tcMar>
            <w:vAlign w:val="bottom"/>
          </w:tcPr>
          <w:p w:rsidR="00DE25E4" w:rsidRDefault="00AD30C9">
            <w:pPr>
              <w:keepNext/>
              <w:spacing w:before="55" w:after="30"/>
              <w:jc w:val="center"/>
            </w:pPr>
            <w:r>
              <w:rPr>
                <w:i/>
                <w:color w:val="000000"/>
                <w:sz w:val="20"/>
              </w:rPr>
              <w:t>(in millions)</w:t>
            </w:r>
          </w:p>
        </w:tc>
      </w:tr>
      <w:tr w:rsidR="00DE25E4">
        <w:trPr>
          <w:cantSplit/>
          <w:trHeight w:hRule="exact" w:val="300"/>
          <w:jc w:val="center"/>
        </w:trPr>
        <w:tc>
          <w:tcPr>
            <w:tcW w:w="520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Net income</w:t>
            </w:r>
          </w:p>
        </w:tc>
        <w:tc>
          <w:tcPr>
            <w:tcW w:w="142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1092"/>
                <w:tab w:val="left" w:pos="1357"/>
              </w:tabs>
              <w:spacing w:before="75" w:after="30"/>
              <w:jc w:val="right"/>
            </w:pPr>
            <w:r>
              <w:rPr>
                <w:color w:val="000000"/>
                <w:sz w:val="20"/>
              </w:rPr>
              <w:t>$</w:t>
            </w:r>
            <w:r>
              <w:rPr>
                <w:color w:val="000000"/>
                <w:sz w:val="20"/>
              </w:rPr>
              <w:tab/>
              <w:t>10</w:t>
            </w:r>
            <w:r>
              <w:rPr>
                <w:color w:val="000000"/>
                <w:sz w:val="20"/>
              </w:rPr>
              <w:tab/>
            </w:r>
          </w:p>
        </w:tc>
        <w:tc>
          <w:tcPr>
            <w:tcW w:w="28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42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1092"/>
                <w:tab w:val="left" w:pos="1357"/>
              </w:tabs>
              <w:spacing w:before="75" w:after="30"/>
              <w:jc w:val="right"/>
            </w:pPr>
            <w:r>
              <w:rPr>
                <w:color w:val="000000"/>
                <w:sz w:val="20"/>
              </w:rPr>
              <w:t>$</w:t>
            </w:r>
            <w:r>
              <w:rPr>
                <w:color w:val="000000"/>
                <w:sz w:val="20"/>
              </w:rPr>
              <w:tab/>
              <w:t>65</w:t>
            </w:r>
            <w:r>
              <w:rPr>
                <w:color w:val="000000"/>
                <w:sz w:val="20"/>
              </w:rPr>
              <w:tab/>
            </w:r>
          </w:p>
        </w:tc>
      </w:tr>
      <w:tr w:rsidR="00DE25E4">
        <w:trPr>
          <w:cantSplit/>
          <w:trHeight w:hRule="exact" w:val="300"/>
          <w:jc w:val="center"/>
        </w:trPr>
        <w:tc>
          <w:tcPr>
            <w:tcW w:w="520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Interest expense</w:t>
            </w:r>
          </w:p>
        </w:tc>
        <w:tc>
          <w:tcPr>
            <w:tcW w:w="142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992"/>
                <w:tab w:val="left" w:pos="1357"/>
              </w:tabs>
              <w:spacing w:before="75" w:after="30"/>
              <w:jc w:val="right"/>
            </w:pPr>
            <w:r>
              <w:rPr>
                <w:color w:val="000000"/>
                <w:sz w:val="20"/>
              </w:rPr>
              <w:tab/>
              <w:t>200</w:t>
            </w:r>
            <w:r>
              <w:rPr>
                <w:color w:val="000000"/>
                <w:sz w:val="20"/>
              </w:rPr>
              <w:tab/>
            </w:r>
          </w:p>
        </w:tc>
        <w:tc>
          <w:tcPr>
            <w:tcW w:w="28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42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992"/>
                <w:tab w:val="left" w:pos="1357"/>
              </w:tabs>
              <w:spacing w:before="75" w:after="30"/>
              <w:jc w:val="right"/>
            </w:pPr>
            <w:r>
              <w:rPr>
                <w:color w:val="000000"/>
                <w:sz w:val="20"/>
              </w:rPr>
              <w:tab/>
              <w:t>200</w:t>
            </w:r>
            <w:r>
              <w:rPr>
                <w:color w:val="000000"/>
                <w:sz w:val="20"/>
              </w:rPr>
              <w:tab/>
            </w:r>
          </w:p>
        </w:tc>
      </w:tr>
      <w:tr w:rsidR="00DE25E4">
        <w:trPr>
          <w:cantSplit/>
          <w:trHeight w:hRule="exact" w:val="300"/>
          <w:jc w:val="center"/>
        </w:trPr>
        <w:tc>
          <w:tcPr>
            <w:tcW w:w="520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Income tax expense</w:t>
            </w:r>
          </w:p>
        </w:tc>
        <w:tc>
          <w:tcPr>
            <w:tcW w:w="142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1092"/>
                <w:tab w:val="left" w:pos="1357"/>
              </w:tabs>
              <w:spacing w:before="75" w:after="30"/>
              <w:jc w:val="right"/>
            </w:pPr>
            <w:r>
              <w:rPr>
                <w:color w:val="000000"/>
                <w:sz w:val="20"/>
              </w:rPr>
              <w:tab/>
              <w:t>—</w:t>
            </w:r>
            <w:r>
              <w:rPr>
                <w:color w:val="000000"/>
                <w:sz w:val="20"/>
              </w:rPr>
              <w:tab/>
            </w:r>
          </w:p>
        </w:tc>
        <w:tc>
          <w:tcPr>
            <w:tcW w:w="28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42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1092"/>
                <w:tab w:val="left" w:pos="1357"/>
              </w:tabs>
              <w:spacing w:before="75" w:after="30"/>
              <w:jc w:val="right"/>
            </w:pPr>
            <w:r>
              <w:rPr>
                <w:color w:val="000000"/>
                <w:sz w:val="20"/>
              </w:rPr>
              <w:tab/>
              <w:t>20</w:t>
            </w:r>
            <w:r>
              <w:rPr>
                <w:color w:val="000000"/>
                <w:sz w:val="20"/>
              </w:rPr>
              <w:tab/>
            </w:r>
          </w:p>
        </w:tc>
      </w:tr>
      <w:tr w:rsidR="00DE25E4">
        <w:trPr>
          <w:cantSplit/>
          <w:trHeight w:hRule="exact" w:val="300"/>
          <w:jc w:val="center"/>
        </w:trPr>
        <w:tc>
          <w:tcPr>
            <w:tcW w:w="520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Depreciation and amortization</w:t>
            </w:r>
          </w:p>
        </w:tc>
        <w:tc>
          <w:tcPr>
            <w:tcW w:w="142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992"/>
                <w:tab w:val="left" w:pos="1357"/>
              </w:tabs>
              <w:spacing w:before="75" w:after="30"/>
              <w:jc w:val="right"/>
            </w:pPr>
            <w:r>
              <w:rPr>
                <w:color w:val="000000"/>
                <w:sz w:val="20"/>
              </w:rPr>
              <w:tab/>
              <w:t>490</w:t>
            </w:r>
            <w:r>
              <w:rPr>
                <w:color w:val="000000"/>
                <w:sz w:val="20"/>
              </w:rPr>
              <w:tab/>
            </w:r>
          </w:p>
        </w:tc>
        <w:tc>
          <w:tcPr>
            <w:tcW w:w="28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42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992"/>
                <w:tab w:val="left" w:pos="1357"/>
              </w:tabs>
              <w:spacing w:before="75" w:after="30"/>
              <w:jc w:val="right"/>
            </w:pPr>
            <w:r>
              <w:rPr>
                <w:color w:val="000000"/>
                <w:sz w:val="20"/>
              </w:rPr>
              <w:tab/>
              <w:t>490</w:t>
            </w:r>
            <w:r>
              <w:rPr>
                <w:color w:val="000000"/>
                <w:sz w:val="20"/>
              </w:rPr>
              <w:tab/>
            </w:r>
          </w:p>
        </w:tc>
      </w:tr>
      <w:tr w:rsidR="00DE25E4">
        <w:trPr>
          <w:cantSplit/>
          <w:trHeight w:hRule="exact" w:val="300"/>
          <w:jc w:val="center"/>
        </w:trPr>
        <w:tc>
          <w:tcPr>
            <w:tcW w:w="520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55" w:after="30"/>
            </w:pPr>
            <w:r>
              <w:rPr>
                <w:color w:val="000000"/>
                <w:sz w:val="20"/>
              </w:rPr>
              <w:t>Full year 2023 targeted EBITDA</w:t>
            </w:r>
          </w:p>
        </w:tc>
        <w:tc>
          <w:tcPr>
            <w:tcW w:w="142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992"/>
                <w:tab w:val="left" w:pos="1357"/>
              </w:tabs>
              <w:spacing w:before="55" w:after="30"/>
              <w:jc w:val="right"/>
            </w:pPr>
            <w:r>
              <w:rPr>
                <w:color w:val="000000"/>
                <w:sz w:val="20"/>
              </w:rPr>
              <w:tab/>
              <w:t>700</w:t>
            </w:r>
            <w:r>
              <w:rPr>
                <w:color w:val="000000"/>
                <w:sz w:val="20"/>
              </w:rPr>
              <w:tab/>
            </w:r>
          </w:p>
        </w:tc>
        <w:tc>
          <w:tcPr>
            <w:tcW w:w="28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42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992"/>
                <w:tab w:val="left" w:pos="1357"/>
              </w:tabs>
              <w:spacing w:before="55" w:after="30"/>
              <w:jc w:val="right"/>
            </w:pPr>
            <w:r>
              <w:rPr>
                <w:color w:val="000000"/>
                <w:sz w:val="20"/>
              </w:rPr>
              <w:tab/>
              <w:t>775</w:t>
            </w:r>
            <w:r>
              <w:rPr>
                <w:color w:val="000000"/>
                <w:sz w:val="20"/>
              </w:rPr>
              <w:tab/>
            </w:r>
          </w:p>
        </w:tc>
      </w:tr>
      <w:tr w:rsidR="00DE25E4">
        <w:trPr>
          <w:cantSplit/>
          <w:trHeight w:hRule="exact" w:val="300"/>
          <w:jc w:val="center"/>
        </w:trPr>
        <w:tc>
          <w:tcPr>
            <w:tcW w:w="520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Restructuring and acquisition-related costs</w:t>
            </w:r>
          </w:p>
        </w:tc>
        <w:tc>
          <w:tcPr>
            <w:tcW w:w="142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1092"/>
                <w:tab w:val="left" w:pos="1357"/>
              </w:tabs>
              <w:spacing w:before="75" w:after="30"/>
              <w:jc w:val="right"/>
            </w:pPr>
            <w:r>
              <w:rPr>
                <w:color w:val="000000"/>
                <w:sz w:val="20"/>
              </w:rPr>
              <w:tab/>
              <w:t>25</w:t>
            </w:r>
            <w:r>
              <w:rPr>
                <w:color w:val="000000"/>
                <w:sz w:val="20"/>
              </w:rPr>
              <w:tab/>
            </w:r>
          </w:p>
        </w:tc>
        <w:tc>
          <w:tcPr>
            <w:tcW w:w="285"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42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1092"/>
                <w:tab w:val="left" w:pos="1357"/>
              </w:tabs>
              <w:spacing w:before="75" w:after="30"/>
              <w:jc w:val="right"/>
            </w:pPr>
            <w:r>
              <w:rPr>
                <w:color w:val="000000"/>
                <w:sz w:val="20"/>
              </w:rPr>
              <w:tab/>
              <w:t>25</w:t>
            </w:r>
            <w:r>
              <w:rPr>
                <w:color w:val="000000"/>
                <w:sz w:val="20"/>
              </w:rPr>
              <w:tab/>
            </w:r>
          </w:p>
        </w:tc>
      </w:tr>
      <w:tr w:rsidR="00DE25E4">
        <w:trPr>
          <w:cantSplit/>
          <w:trHeight w:hRule="exact" w:val="285"/>
          <w:jc w:val="center"/>
        </w:trPr>
        <w:tc>
          <w:tcPr>
            <w:tcW w:w="520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spacing w:before="55" w:after="30"/>
            </w:pPr>
            <w:r>
              <w:rPr>
                <w:b/>
                <w:color w:val="000000"/>
                <w:sz w:val="20"/>
              </w:rPr>
              <w:t>Full year 2023 targeted Adjusted EBITDA</w:t>
            </w:r>
          </w:p>
        </w:tc>
        <w:tc>
          <w:tcPr>
            <w:tcW w:w="142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DE25E4" w:rsidRDefault="00AD30C9">
            <w:pPr>
              <w:tabs>
                <w:tab w:val="left" w:pos="992"/>
                <w:tab w:val="left" w:pos="1357"/>
              </w:tabs>
              <w:spacing w:before="55" w:after="30"/>
              <w:jc w:val="right"/>
            </w:pPr>
            <w:r>
              <w:rPr>
                <w:b/>
                <w:color w:val="000000"/>
                <w:sz w:val="20"/>
              </w:rPr>
              <w:t>$</w:t>
            </w:r>
            <w:r>
              <w:rPr>
                <w:b/>
                <w:color w:val="000000"/>
                <w:sz w:val="20"/>
              </w:rPr>
              <w:tab/>
              <w:t>725</w:t>
            </w:r>
            <w:r>
              <w:rPr>
                <w:b/>
                <w:color w:val="000000"/>
                <w:sz w:val="20"/>
              </w:rPr>
              <w:tab/>
            </w:r>
          </w:p>
        </w:tc>
        <w:tc>
          <w:tcPr>
            <w:tcW w:w="285"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tc>
        <w:tc>
          <w:tcPr>
            <w:tcW w:w="142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rsidR="00DE25E4" w:rsidRDefault="00AD30C9">
            <w:pPr>
              <w:tabs>
                <w:tab w:val="left" w:pos="992"/>
                <w:tab w:val="left" w:pos="1357"/>
              </w:tabs>
              <w:spacing w:before="55" w:after="30"/>
              <w:jc w:val="right"/>
            </w:pPr>
            <w:r>
              <w:rPr>
                <w:b/>
                <w:color w:val="000000"/>
                <w:sz w:val="20"/>
              </w:rPr>
              <w:t>$</w:t>
            </w:r>
            <w:r>
              <w:rPr>
                <w:b/>
                <w:color w:val="000000"/>
                <w:sz w:val="20"/>
              </w:rPr>
              <w:tab/>
              <w:t>800</w:t>
            </w:r>
            <w:r>
              <w:rPr>
                <w:b/>
                <w:color w:val="000000"/>
                <w:sz w:val="20"/>
              </w:rPr>
              <w:tab/>
            </w:r>
          </w:p>
        </w:tc>
      </w:tr>
    </w:tbl>
    <w:p w:rsidR="00DE25E4" w:rsidRDefault="00DE25E4">
      <w:pPr>
        <w:spacing w:line="288" w:lineRule="auto"/>
        <w:jc w:val="center"/>
        <w:rPr>
          <w:sz w:val="20"/>
        </w:rPr>
      </w:pP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5"/>
        <w:gridCol w:w="1425"/>
        <w:gridCol w:w="300"/>
        <w:gridCol w:w="1365"/>
      </w:tblGrid>
      <w:tr w:rsidR="00DE25E4">
        <w:trPr>
          <w:cantSplit/>
          <w:trHeight w:hRule="exact" w:val="285"/>
          <w:jc w:val="center"/>
        </w:trPr>
        <w:tc>
          <w:tcPr>
            <w:tcW w:w="538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3090" w:type="dxa"/>
            <w:gridSpan w:val="3"/>
            <w:tcBorders>
              <w:top w:val="nil"/>
              <w:left w:val="nil"/>
              <w:bottom w:val="single" w:sz="8" w:space="0" w:color="000000"/>
              <w:right w:val="nil"/>
            </w:tcBorders>
            <w:tcMar>
              <w:top w:w="0" w:type="dxa"/>
              <w:left w:w="53" w:type="dxa"/>
              <w:bottom w:w="0" w:type="dxa"/>
              <w:right w:w="53" w:type="dxa"/>
            </w:tcMar>
            <w:vAlign w:val="bottom"/>
          </w:tcPr>
          <w:p w:rsidR="00DE25E4" w:rsidRDefault="00AD30C9">
            <w:pPr>
              <w:keepNext/>
              <w:spacing w:before="75" w:after="30"/>
              <w:jc w:val="center"/>
            </w:pPr>
            <w:r>
              <w:rPr>
                <w:b/>
                <w:color w:val="000000"/>
                <w:sz w:val="20"/>
              </w:rPr>
              <w:t xml:space="preserve">Adjusted Free Cash </w:t>
            </w:r>
            <w:r>
              <w:rPr>
                <w:b/>
                <w:color w:val="000000"/>
                <w:sz w:val="20"/>
              </w:rPr>
              <w:t>Flow</w:t>
            </w:r>
          </w:p>
        </w:tc>
      </w:tr>
      <w:tr w:rsidR="00DE25E4">
        <w:trPr>
          <w:cantSplit/>
          <w:trHeight w:hRule="exact" w:val="240"/>
          <w:jc w:val="center"/>
        </w:trPr>
        <w:tc>
          <w:tcPr>
            <w:tcW w:w="538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1425" w:type="dxa"/>
            <w:tcBorders>
              <w:top w:val="nil"/>
              <w:left w:val="nil"/>
              <w:bottom w:val="single" w:sz="8" w:space="0" w:color="000000"/>
              <w:right w:val="nil"/>
            </w:tcBorders>
            <w:tcMar>
              <w:top w:w="0" w:type="dxa"/>
              <w:left w:w="53" w:type="dxa"/>
              <w:bottom w:w="0" w:type="dxa"/>
              <w:right w:w="53" w:type="dxa"/>
            </w:tcMar>
            <w:vAlign w:val="bottom"/>
          </w:tcPr>
          <w:p w:rsidR="00DE25E4" w:rsidRDefault="00AD30C9">
            <w:pPr>
              <w:keepNext/>
              <w:spacing w:before="55" w:after="30"/>
              <w:jc w:val="center"/>
            </w:pPr>
            <w:r>
              <w:rPr>
                <w:b/>
                <w:color w:val="000000"/>
                <w:sz w:val="20"/>
              </w:rPr>
              <w:t>Low End</w:t>
            </w:r>
          </w:p>
        </w:tc>
        <w:tc>
          <w:tcPr>
            <w:tcW w:w="300" w:type="dxa"/>
            <w:tcBorders>
              <w:top w:val="single" w:sz="8" w:space="0" w:color="000000"/>
              <w:left w:val="nil"/>
              <w:bottom w:val="nil"/>
              <w:right w:val="nil"/>
            </w:tcBorders>
            <w:tcMar>
              <w:top w:w="0" w:type="dxa"/>
              <w:left w:w="0" w:type="dxa"/>
              <w:bottom w:w="0" w:type="dxa"/>
              <w:right w:w="0" w:type="dxa"/>
            </w:tcMar>
            <w:vAlign w:val="bottom"/>
          </w:tcPr>
          <w:p w:rsidR="00DE25E4" w:rsidRDefault="00DE25E4">
            <w:pPr>
              <w:keepNext/>
            </w:pPr>
          </w:p>
        </w:tc>
        <w:tc>
          <w:tcPr>
            <w:tcW w:w="1365" w:type="dxa"/>
            <w:tcBorders>
              <w:top w:val="single" w:sz="8" w:space="0" w:color="000000"/>
              <w:left w:val="nil"/>
              <w:bottom w:val="single" w:sz="8" w:space="0" w:color="000000"/>
              <w:right w:val="nil"/>
            </w:tcBorders>
            <w:tcMar>
              <w:top w:w="0" w:type="dxa"/>
              <w:left w:w="53" w:type="dxa"/>
              <w:bottom w:w="0" w:type="dxa"/>
              <w:right w:w="53" w:type="dxa"/>
            </w:tcMar>
            <w:vAlign w:val="bottom"/>
          </w:tcPr>
          <w:p w:rsidR="00DE25E4" w:rsidRDefault="00AD30C9">
            <w:pPr>
              <w:keepNext/>
              <w:spacing w:before="55" w:after="30"/>
              <w:jc w:val="center"/>
            </w:pPr>
            <w:r>
              <w:rPr>
                <w:b/>
                <w:color w:val="000000"/>
                <w:sz w:val="20"/>
              </w:rPr>
              <w:t>High End</w:t>
            </w:r>
          </w:p>
        </w:tc>
      </w:tr>
      <w:tr w:rsidR="00DE25E4">
        <w:trPr>
          <w:cantSplit/>
          <w:trHeight w:hRule="exact" w:val="240"/>
          <w:jc w:val="center"/>
        </w:trPr>
        <w:tc>
          <w:tcPr>
            <w:tcW w:w="5385" w:type="dxa"/>
            <w:tcBorders>
              <w:top w:val="nil"/>
              <w:left w:val="nil"/>
              <w:bottom w:val="nil"/>
              <w:right w:val="nil"/>
            </w:tcBorders>
            <w:tcMar>
              <w:top w:w="0" w:type="dxa"/>
              <w:left w:w="0" w:type="dxa"/>
              <w:bottom w:w="0" w:type="dxa"/>
              <w:right w:w="0" w:type="dxa"/>
            </w:tcMar>
            <w:vAlign w:val="bottom"/>
          </w:tcPr>
          <w:p w:rsidR="00DE25E4" w:rsidRDefault="00DE25E4">
            <w:pPr>
              <w:keepNext/>
            </w:pPr>
          </w:p>
        </w:tc>
        <w:tc>
          <w:tcPr>
            <w:tcW w:w="3090" w:type="dxa"/>
            <w:gridSpan w:val="3"/>
            <w:tcBorders>
              <w:top w:val="nil"/>
              <w:left w:val="nil"/>
              <w:bottom w:val="nil"/>
              <w:right w:val="nil"/>
            </w:tcBorders>
            <w:tcMar>
              <w:top w:w="0" w:type="dxa"/>
              <w:left w:w="53" w:type="dxa"/>
              <w:bottom w:w="0" w:type="dxa"/>
              <w:right w:w="53" w:type="dxa"/>
            </w:tcMar>
            <w:vAlign w:val="bottom"/>
          </w:tcPr>
          <w:p w:rsidR="00DE25E4" w:rsidRDefault="00AD30C9">
            <w:pPr>
              <w:keepNext/>
              <w:spacing w:before="55" w:after="30"/>
              <w:jc w:val="center"/>
            </w:pPr>
            <w:r>
              <w:rPr>
                <w:i/>
                <w:color w:val="000000"/>
                <w:sz w:val="20"/>
              </w:rPr>
              <w:t>(in millions)</w:t>
            </w:r>
          </w:p>
        </w:tc>
      </w:tr>
      <w:tr w:rsidR="00DE25E4">
        <w:trPr>
          <w:cantSplit/>
          <w:trHeight w:hRule="exact" w:val="300"/>
          <w:jc w:val="center"/>
        </w:trPr>
        <w:tc>
          <w:tcPr>
            <w:tcW w:w="538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Net cash provided by operating activities</w:t>
            </w:r>
          </w:p>
        </w:tc>
        <w:tc>
          <w:tcPr>
            <w:tcW w:w="142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992"/>
                <w:tab w:val="left" w:pos="1357"/>
              </w:tabs>
              <w:spacing w:before="75" w:after="30"/>
              <w:jc w:val="right"/>
            </w:pPr>
            <w:r>
              <w:rPr>
                <w:color w:val="000000"/>
                <w:sz w:val="20"/>
              </w:rPr>
              <w:t>$</w:t>
            </w:r>
            <w:r>
              <w:rPr>
                <w:color w:val="000000"/>
                <w:sz w:val="20"/>
              </w:rPr>
              <w:tab/>
              <w:t>435</w:t>
            </w:r>
            <w:r>
              <w:rPr>
                <w:color w:val="000000"/>
                <w:sz w:val="20"/>
              </w:rPr>
              <w:tab/>
            </w:r>
          </w:p>
        </w:tc>
        <w:tc>
          <w:tcPr>
            <w:tcW w:w="30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365" w:type="dxa"/>
            <w:tcBorders>
              <w:top w:val="nil"/>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932"/>
                <w:tab w:val="left" w:pos="1297"/>
              </w:tabs>
              <w:spacing w:before="75" w:after="30"/>
              <w:jc w:val="right"/>
            </w:pPr>
            <w:r>
              <w:rPr>
                <w:color w:val="000000"/>
                <w:sz w:val="20"/>
              </w:rPr>
              <w:t>$</w:t>
            </w:r>
            <w:r>
              <w:rPr>
                <w:color w:val="000000"/>
                <w:sz w:val="20"/>
              </w:rPr>
              <w:tab/>
              <w:t>510</w:t>
            </w:r>
            <w:r>
              <w:rPr>
                <w:color w:val="000000"/>
                <w:sz w:val="20"/>
              </w:rPr>
              <w:tab/>
            </w:r>
          </w:p>
        </w:tc>
      </w:tr>
      <w:tr w:rsidR="00DE25E4">
        <w:trPr>
          <w:cantSplit/>
          <w:trHeight w:hRule="exact" w:val="495"/>
          <w:jc w:val="center"/>
        </w:trPr>
        <w:tc>
          <w:tcPr>
            <w:tcW w:w="5385" w:type="dxa"/>
            <w:tcBorders>
              <w:top w:val="nil"/>
              <w:left w:val="nil"/>
              <w:bottom w:val="nil"/>
              <w:right w:val="nil"/>
            </w:tcBorders>
            <w:shd w:val="clear" w:color="auto" w:fill="FFFFFF"/>
            <w:tcMar>
              <w:top w:w="0" w:type="dxa"/>
              <w:left w:w="53" w:type="dxa"/>
              <w:bottom w:w="0" w:type="dxa"/>
              <w:right w:w="53" w:type="dxa"/>
            </w:tcMar>
          </w:tcPr>
          <w:p w:rsidR="00DE25E4" w:rsidRDefault="00AD30C9">
            <w:pPr>
              <w:keepNext/>
              <w:spacing w:before="75" w:after="30"/>
            </w:pPr>
            <w:r>
              <w:rPr>
                <w:color w:val="000000"/>
                <w:sz w:val="20"/>
              </w:rPr>
              <w:t>Capital expenditures net of proceeds from the sale of property, plant and equipment</w:t>
            </w:r>
          </w:p>
        </w:tc>
        <w:tc>
          <w:tcPr>
            <w:tcW w:w="142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906"/>
              </w:tabs>
              <w:spacing w:before="75" w:after="30"/>
              <w:jc w:val="right"/>
            </w:pPr>
            <w:r>
              <w:rPr>
                <w:color w:val="000000"/>
                <w:sz w:val="20"/>
              </w:rPr>
              <w:tab/>
              <w:t>(230)</w:t>
            </w:r>
          </w:p>
        </w:tc>
        <w:tc>
          <w:tcPr>
            <w:tcW w:w="30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36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rsidR="00DE25E4" w:rsidRDefault="00AD30C9">
            <w:pPr>
              <w:keepNext/>
              <w:tabs>
                <w:tab w:val="left" w:pos="846"/>
              </w:tabs>
              <w:spacing w:before="75" w:after="30"/>
              <w:jc w:val="right"/>
            </w:pPr>
            <w:r>
              <w:rPr>
                <w:color w:val="000000"/>
                <w:sz w:val="20"/>
              </w:rPr>
              <w:tab/>
              <w:t>(230)</w:t>
            </w:r>
          </w:p>
        </w:tc>
      </w:tr>
      <w:tr w:rsidR="00DE25E4">
        <w:trPr>
          <w:cantSplit/>
          <w:trHeight w:hRule="exact" w:val="300"/>
          <w:jc w:val="center"/>
        </w:trPr>
        <w:tc>
          <w:tcPr>
            <w:tcW w:w="538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55" w:after="30"/>
            </w:pPr>
            <w:r>
              <w:rPr>
                <w:color w:val="000000"/>
                <w:sz w:val="20"/>
              </w:rPr>
              <w:t>Full year 2023 targeted Free Cash Flow</w:t>
            </w:r>
          </w:p>
        </w:tc>
        <w:tc>
          <w:tcPr>
            <w:tcW w:w="142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992"/>
                <w:tab w:val="left" w:pos="1357"/>
              </w:tabs>
              <w:spacing w:before="55" w:after="30"/>
              <w:jc w:val="right"/>
            </w:pPr>
            <w:r>
              <w:rPr>
                <w:color w:val="000000"/>
                <w:sz w:val="20"/>
              </w:rPr>
              <w:tab/>
              <w:t>205</w:t>
            </w:r>
            <w:r>
              <w:rPr>
                <w:color w:val="000000"/>
                <w:sz w:val="20"/>
              </w:rPr>
              <w:tab/>
            </w:r>
          </w:p>
        </w:tc>
        <w:tc>
          <w:tcPr>
            <w:tcW w:w="30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36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DE25E4" w:rsidRDefault="00AD30C9">
            <w:pPr>
              <w:keepNext/>
              <w:tabs>
                <w:tab w:val="left" w:pos="932"/>
                <w:tab w:val="left" w:pos="1297"/>
              </w:tabs>
              <w:spacing w:before="55" w:after="30"/>
              <w:jc w:val="right"/>
            </w:pPr>
            <w:r>
              <w:rPr>
                <w:color w:val="000000"/>
                <w:sz w:val="20"/>
              </w:rPr>
              <w:tab/>
              <w:t>280</w:t>
            </w:r>
            <w:r>
              <w:rPr>
                <w:color w:val="000000"/>
                <w:sz w:val="20"/>
              </w:rPr>
              <w:tab/>
            </w:r>
          </w:p>
        </w:tc>
      </w:tr>
      <w:tr w:rsidR="00DE25E4">
        <w:trPr>
          <w:cantSplit/>
          <w:trHeight w:hRule="exact" w:val="300"/>
          <w:jc w:val="center"/>
        </w:trPr>
        <w:tc>
          <w:tcPr>
            <w:tcW w:w="538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keepNext/>
              <w:spacing w:before="75" w:after="30"/>
            </w:pPr>
            <w:r>
              <w:rPr>
                <w:color w:val="000000"/>
                <w:sz w:val="20"/>
              </w:rPr>
              <w:t>Cash payments for restructuring and acquisition-related costs</w:t>
            </w:r>
          </w:p>
        </w:tc>
        <w:tc>
          <w:tcPr>
            <w:tcW w:w="142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1092"/>
                <w:tab w:val="left" w:pos="1357"/>
              </w:tabs>
              <w:spacing w:before="75" w:after="30"/>
              <w:jc w:val="right"/>
            </w:pPr>
            <w:r>
              <w:rPr>
                <w:color w:val="000000"/>
                <w:sz w:val="20"/>
              </w:rPr>
              <w:tab/>
              <w:t>25</w:t>
            </w:r>
            <w:r>
              <w:rPr>
                <w:color w:val="000000"/>
                <w:sz w:val="20"/>
              </w:rPr>
              <w:tab/>
            </w:r>
          </w:p>
        </w:tc>
        <w:tc>
          <w:tcPr>
            <w:tcW w:w="30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pPr>
              <w:keepNext/>
            </w:pPr>
          </w:p>
        </w:tc>
        <w:tc>
          <w:tcPr>
            <w:tcW w:w="1365" w:type="dxa"/>
            <w:tcBorders>
              <w:top w:val="nil"/>
              <w:left w:val="nil"/>
              <w:bottom w:val="nil"/>
              <w:right w:val="nil"/>
            </w:tcBorders>
            <w:shd w:val="clear" w:color="auto" w:fill="FFFFFF"/>
            <w:tcMar>
              <w:top w:w="0" w:type="dxa"/>
              <w:left w:w="0" w:type="dxa"/>
              <w:bottom w:w="0" w:type="dxa"/>
              <w:right w:w="15" w:type="dxa"/>
            </w:tcMar>
            <w:vAlign w:val="bottom"/>
          </w:tcPr>
          <w:p w:rsidR="00DE25E4" w:rsidRDefault="00AD30C9">
            <w:pPr>
              <w:keepNext/>
              <w:tabs>
                <w:tab w:val="left" w:pos="1032"/>
                <w:tab w:val="left" w:pos="1297"/>
              </w:tabs>
              <w:spacing w:before="75" w:after="30"/>
              <w:jc w:val="right"/>
            </w:pPr>
            <w:r>
              <w:rPr>
                <w:color w:val="000000"/>
                <w:sz w:val="20"/>
              </w:rPr>
              <w:tab/>
              <w:t>25</w:t>
            </w:r>
            <w:r>
              <w:rPr>
                <w:color w:val="000000"/>
                <w:sz w:val="20"/>
              </w:rPr>
              <w:tab/>
            </w:r>
          </w:p>
        </w:tc>
      </w:tr>
      <w:tr w:rsidR="00DE25E4">
        <w:trPr>
          <w:cantSplit/>
          <w:trHeight w:hRule="exact" w:val="300"/>
          <w:jc w:val="center"/>
        </w:trPr>
        <w:tc>
          <w:tcPr>
            <w:tcW w:w="5385" w:type="dxa"/>
            <w:tcBorders>
              <w:top w:val="nil"/>
              <w:left w:val="nil"/>
              <w:bottom w:val="nil"/>
              <w:right w:val="nil"/>
            </w:tcBorders>
            <w:shd w:val="clear" w:color="auto" w:fill="CCEEFF"/>
            <w:tcMar>
              <w:top w:w="0" w:type="dxa"/>
              <w:left w:w="53" w:type="dxa"/>
              <w:bottom w:w="0" w:type="dxa"/>
              <w:right w:w="53" w:type="dxa"/>
            </w:tcMar>
            <w:vAlign w:val="bottom"/>
          </w:tcPr>
          <w:p w:rsidR="00DE25E4" w:rsidRDefault="00AD30C9">
            <w:pPr>
              <w:keepNext/>
              <w:spacing w:before="75" w:after="30"/>
            </w:pPr>
            <w:r>
              <w:rPr>
                <w:color w:val="000000"/>
                <w:sz w:val="20"/>
              </w:rPr>
              <w:t>Other</w:t>
            </w:r>
          </w:p>
        </w:tc>
        <w:tc>
          <w:tcPr>
            <w:tcW w:w="142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DE25E4" w:rsidRDefault="00AD30C9">
            <w:pPr>
              <w:keepNext/>
              <w:tabs>
                <w:tab w:val="left" w:pos="1106"/>
              </w:tabs>
              <w:spacing w:before="75" w:after="30"/>
              <w:jc w:val="right"/>
            </w:pPr>
            <w:r>
              <w:rPr>
                <w:color w:val="000000"/>
                <w:sz w:val="20"/>
              </w:rPr>
              <w:tab/>
              <w:t>(5)</w:t>
            </w:r>
          </w:p>
        </w:tc>
        <w:tc>
          <w:tcPr>
            <w:tcW w:w="300" w:type="dxa"/>
            <w:tcBorders>
              <w:top w:val="nil"/>
              <w:left w:val="nil"/>
              <w:bottom w:val="nil"/>
              <w:right w:val="nil"/>
            </w:tcBorders>
            <w:shd w:val="clear" w:color="auto" w:fill="CCEEFF"/>
            <w:tcMar>
              <w:top w:w="0" w:type="dxa"/>
              <w:left w:w="0" w:type="dxa"/>
              <w:bottom w:w="0" w:type="dxa"/>
              <w:right w:w="0" w:type="dxa"/>
            </w:tcMar>
            <w:vAlign w:val="bottom"/>
          </w:tcPr>
          <w:p w:rsidR="00DE25E4" w:rsidRDefault="00DE25E4">
            <w:pPr>
              <w:keepNext/>
            </w:pPr>
          </w:p>
        </w:tc>
        <w:tc>
          <w:tcPr>
            <w:tcW w:w="136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rsidR="00DE25E4" w:rsidRDefault="00AD30C9">
            <w:pPr>
              <w:keepNext/>
              <w:tabs>
                <w:tab w:val="left" w:pos="1046"/>
              </w:tabs>
              <w:spacing w:before="75" w:after="30"/>
              <w:jc w:val="right"/>
            </w:pPr>
            <w:r>
              <w:rPr>
                <w:color w:val="000000"/>
                <w:sz w:val="20"/>
              </w:rPr>
              <w:tab/>
              <w:t>(5)</w:t>
            </w:r>
          </w:p>
        </w:tc>
      </w:tr>
      <w:tr w:rsidR="00DE25E4">
        <w:trPr>
          <w:cantSplit/>
          <w:trHeight w:hRule="exact" w:val="300"/>
          <w:jc w:val="center"/>
        </w:trPr>
        <w:tc>
          <w:tcPr>
            <w:tcW w:w="5385" w:type="dxa"/>
            <w:tcBorders>
              <w:top w:val="nil"/>
              <w:left w:val="nil"/>
              <w:bottom w:val="nil"/>
              <w:right w:val="nil"/>
            </w:tcBorders>
            <w:shd w:val="clear" w:color="auto" w:fill="FFFFFF"/>
            <w:tcMar>
              <w:top w:w="0" w:type="dxa"/>
              <w:left w:w="53" w:type="dxa"/>
              <w:bottom w:w="0" w:type="dxa"/>
              <w:right w:w="53" w:type="dxa"/>
            </w:tcMar>
            <w:vAlign w:val="bottom"/>
          </w:tcPr>
          <w:p w:rsidR="00DE25E4" w:rsidRDefault="00AD30C9">
            <w:pPr>
              <w:spacing w:before="55" w:after="30"/>
            </w:pPr>
            <w:r>
              <w:rPr>
                <w:b/>
                <w:color w:val="000000"/>
                <w:sz w:val="20"/>
              </w:rPr>
              <w:t>Full year 2023 targeted Adjusted Free Cash Flow</w:t>
            </w:r>
          </w:p>
        </w:tc>
        <w:tc>
          <w:tcPr>
            <w:tcW w:w="142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DE25E4" w:rsidRDefault="00AD30C9">
            <w:pPr>
              <w:tabs>
                <w:tab w:val="left" w:pos="992"/>
                <w:tab w:val="left" w:pos="1357"/>
              </w:tabs>
              <w:spacing w:before="55" w:after="30"/>
              <w:jc w:val="right"/>
            </w:pPr>
            <w:r>
              <w:rPr>
                <w:b/>
                <w:color w:val="000000"/>
                <w:sz w:val="20"/>
              </w:rPr>
              <w:t>$</w:t>
            </w:r>
            <w:r>
              <w:rPr>
                <w:b/>
                <w:color w:val="000000"/>
                <w:sz w:val="20"/>
              </w:rPr>
              <w:tab/>
              <w:t>225</w:t>
            </w:r>
            <w:r>
              <w:rPr>
                <w:b/>
                <w:color w:val="000000"/>
                <w:sz w:val="20"/>
              </w:rPr>
              <w:tab/>
            </w:r>
          </w:p>
        </w:tc>
        <w:tc>
          <w:tcPr>
            <w:tcW w:w="300" w:type="dxa"/>
            <w:tcBorders>
              <w:top w:val="nil"/>
              <w:left w:val="nil"/>
              <w:bottom w:val="nil"/>
              <w:right w:val="nil"/>
            </w:tcBorders>
            <w:shd w:val="clear" w:color="auto" w:fill="FFFFFF"/>
            <w:tcMar>
              <w:top w:w="0" w:type="dxa"/>
              <w:left w:w="0" w:type="dxa"/>
              <w:bottom w:w="0" w:type="dxa"/>
              <w:right w:w="0" w:type="dxa"/>
            </w:tcMar>
            <w:vAlign w:val="bottom"/>
          </w:tcPr>
          <w:p w:rsidR="00DE25E4" w:rsidRDefault="00DE25E4"/>
        </w:tc>
        <w:tc>
          <w:tcPr>
            <w:tcW w:w="136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rsidR="00DE25E4" w:rsidRDefault="00AD30C9">
            <w:pPr>
              <w:tabs>
                <w:tab w:val="left" w:pos="932"/>
                <w:tab w:val="left" w:pos="1297"/>
              </w:tabs>
              <w:spacing w:before="55" w:after="30"/>
              <w:jc w:val="right"/>
            </w:pPr>
            <w:r>
              <w:rPr>
                <w:b/>
                <w:color w:val="000000"/>
                <w:sz w:val="20"/>
              </w:rPr>
              <w:t>$</w:t>
            </w:r>
            <w:r>
              <w:rPr>
                <w:b/>
                <w:color w:val="000000"/>
                <w:sz w:val="20"/>
              </w:rPr>
              <w:tab/>
              <w:t>300</w:t>
            </w:r>
            <w:r>
              <w:rPr>
                <w:b/>
                <w:color w:val="000000"/>
                <w:sz w:val="20"/>
              </w:rPr>
              <w:tab/>
            </w:r>
          </w:p>
        </w:tc>
      </w:tr>
    </w:tbl>
    <w:p w:rsidR="00DE25E4" w:rsidRDefault="00DE25E4">
      <w:pPr>
        <w:spacing w:line="288" w:lineRule="auto"/>
        <w:jc w:val="center"/>
        <w:rPr>
          <w:sz w:val="20"/>
        </w:rPr>
      </w:pPr>
    </w:p>
    <w:p w:rsidR="00DE25E4" w:rsidRDefault="00DE25E4">
      <w:pPr>
        <w:spacing w:line="288" w:lineRule="auto"/>
        <w:jc w:val="center"/>
        <w:rPr>
          <w:sz w:val="20"/>
        </w:rPr>
      </w:pPr>
    </w:p>
    <w:p w:rsidR="00DE25E4" w:rsidRDefault="00AD30C9">
      <w:pPr>
        <w:spacing w:line="288" w:lineRule="auto"/>
        <w:rPr>
          <w:sz w:val="20"/>
        </w:rPr>
      </w:pPr>
      <w:r>
        <w:rPr>
          <w:sz w:val="20"/>
        </w:rPr>
        <w:t>___________</w:t>
      </w:r>
    </w:p>
    <w:p w:rsidR="00DE25E4" w:rsidRDefault="00AD30C9">
      <w:pPr>
        <w:spacing w:line="288" w:lineRule="auto"/>
        <w:ind w:left="720"/>
        <w:rPr>
          <w:sz w:val="17"/>
        </w:rPr>
      </w:pPr>
      <w:r>
        <w:rPr>
          <w:sz w:val="17"/>
        </w:rPr>
        <w:t xml:space="preserve">  </w:t>
      </w:r>
    </w:p>
    <w:p w:rsidR="00DE25E4" w:rsidRDefault="00AD30C9">
      <w:pPr>
        <w:numPr>
          <w:ilvl w:val="0"/>
          <w:numId w:val="29"/>
        </w:numPr>
        <w:spacing w:line="257" w:lineRule="auto"/>
        <w:ind w:hanging="720"/>
        <w:rPr>
          <w:sz w:val="17"/>
        </w:rPr>
      </w:pPr>
      <w:r>
        <w:rPr>
          <w:sz w:val="17"/>
        </w:rPr>
        <w:t xml:space="preserve">We define EBITDA to be earnings before interest expense, income taxes, depreciation and amortization.  Adjusted EBITDA is defined as EBITDA excluding the impact of restructuring and acquisition-related costs, debt refinancing and redemption costs, loss on </w:t>
      </w:r>
      <w:r>
        <w:rPr>
          <w:sz w:val="17"/>
        </w:rPr>
        <w:t>sale of a business, impairment charges, pension settlements, unrealized gains or losses on equity securities and non-recurring items.  We believe that EBITDA and Adjusted EBITDA are meaningful measures of performance as they are commonly utilized by manage</w:t>
      </w:r>
      <w:r>
        <w:rPr>
          <w:sz w:val="17"/>
        </w:rPr>
        <w:t>ment and investors to analyze operating performance and entity valuation.  Our management, the investment community and the banking institutions routinely use EBITDA and Adjusted EBITDA, together with other measures, to measure our operating performance re</w:t>
      </w:r>
      <w:r>
        <w:rPr>
          <w:sz w:val="17"/>
        </w:rPr>
        <w:t>lative to other Tier 1 automotive suppliers.  We also use Segment Adjusted EBITDA as the measure of earnings to assess the performance of each segment and determine the resources to be allocated to the segments. EBITDA and Adjusted EBITDA are also key metr</w:t>
      </w:r>
      <w:r>
        <w:rPr>
          <w:sz w:val="17"/>
        </w:rPr>
        <w:t>ics used in our calculation of incentive compensation.  EBITDA and Adjusted EBITDA should not be construed as income from operations, net income or cash flow from operating activities as determined under GAAP.  Other companies may calculate EBITDA and Adju</w:t>
      </w:r>
      <w:r>
        <w:rPr>
          <w:sz w:val="17"/>
        </w:rPr>
        <w:t xml:space="preserve">sted EBITDA differently.  </w:t>
      </w:r>
    </w:p>
    <w:p w:rsidR="00DE25E4" w:rsidRDefault="00DE25E4">
      <w:pPr>
        <w:spacing w:line="288" w:lineRule="auto"/>
        <w:ind w:left="720"/>
        <w:rPr>
          <w:sz w:val="17"/>
        </w:rPr>
      </w:pPr>
    </w:p>
    <w:p w:rsidR="00DE25E4" w:rsidRDefault="00AD30C9">
      <w:pPr>
        <w:numPr>
          <w:ilvl w:val="0"/>
          <w:numId w:val="30"/>
        </w:numPr>
        <w:spacing w:line="288" w:lineRule="auto"/>
        <w:ind w:hanging="720"/>
        <w:rPr>
          <w:sz w:val="17"/>
        </w:rPr>
      </w:pPr>
      <w:r>
        <w:rPr>
          <w:sz w:val="17"/>
        </w:rPr>
        <w:t>We define Adjusted earnings (loss) per share to be diluted earnings (loss) per share excluding the impact of restructuring and acquisition-related costs, debt refinancing and redemption costs, loss on sale of a business, impairm</w:t>
      </w:r>
      <w:r>
        <w:rPr>
          <w:sz w:val="17"/>
        </w:rPr>
        <w:t>ent charges, pension settlements, certain accelerated depreciation, unrealized gains or losses on equity securities and non-recurring items, including the tax effect thereon.  We believe Adjusted earnings (loss) per share is a meaningful measure as it is c</w:t>
      </w:r>
      <w:r>
        <w:rPr>
          <w:sz w:val="17"/>
        </w:rPr>
        <w:t>ommonly utilized by management and investors in assessing ongoing financial performance that provides improved comparability between periods through the exclusion of certain items that management believes are not indicative of core operating performance an</w:t>
      </w:r>
      <w:r>
        <w:rPr>
          <w:sz w:val="17"/>
        </w:rPr>
        <w:t xml:space="preserve">d which may obscure underlying business results and trends.  Other companies may calculate Adjusted earnings (loss) per share differently. </w:t>
      </w:r>
    </w:p>
    <w:p w:rsidR="00DE25E4" w:rsidRDefault="00DE25E4">
      <w:pPr>
        <w:spacing w:line="288" w:lineRule="auto"/>
        <w:ind w:left="720" w:hanging="720"/>
        <w:rPr>
          <w:sz w:val="17"/>
        </w:rPr>
      </w:pPr>
    </w:p>
    <w:p w:rsidR="00DE25E4" w:rsidRDefault="00AD30C9">
      <w:pPr>
        <w:tabs>
          <w:tab w:val="left" w:pos="720"/>
        </w:tabs>
        <w:spacing w:line="288" w:lineRule="auto"/>
        <w:ind w:left="720" w:hanging="720"/>
        <w:rPr>
          <w:sz w:val="17"/>
        </w:rPr>
      </w:pPr>
      <w:r>
        <w:rPr>
          <w:sz w:val="17"/>
        </w:rPr>
        <w:t>(c)</w:t>
      </w:r>
      <w:r>
        <w:rPr>
          <w:sz w:val="17"/>
        </w:rPr>
        <w:tab/>
        <w:t>In the first quarter of 2021, one of our largest customers announced their intention to cease production operat</w:t>
      </w:r>
      <w:r>
        <w:rPr>
          <w:sz w:val="17"/>
        </w:rPr>
        <w:t xml:space="preserve">ions in Brazil in 2021 as part of their restructuring actions. As such, we accelerated depreciation on certain property, plant and equipment beginning in the first quarter of 2021. </w:t>
      </w:r>
    </w:p>
    <w:p w:rsidR="00DE25E4" w:rsidRDefault="00DE25E4">
      <w:pPr>
        <w:tabs>
          <w:tab w:val="left" w:pos="720"/>
        </w:tabs>
        <w:spacing w:line="288" w:lineRule="auto"/>
        <w:ind w:left="720" w:hanging="720"/>
        <w:rPr>
          <w:sz w:val="17"/>
        </w:rPr>
      </w:pPr>
    </w:p>
    <w:p w:rsidR="00DE25E4" w:rsidRDefault="00AD30C9">
      <w:pPr>
        <w:tabs>
          <w:tab w:val="left" w:pos="720"/>
        </w:tabs>
        <w:spacing w:line="288" w:lineRule="auto"/>
        <w:ind w:left="720" w:hanging="720"/>
        <w:rPr>
          <w:sz w:val="17"/>
        </w:rPr>
      </w:pPr>
      <w:r>
        <w:rPr>
          <w:sz w:val="17"/>
        </w:rPr>
        <w:t>(d)</w:t>
      </w:r>
      <w:r>
        <w:rPr>
          <w:sz w:val="17"/>
        </w:rPr>
        <w:tab/>
        <w:t>We define free cash flow to be net cash provided by operating activit</w:t>
      </w:r>
      <w:r>
        <w:rPr>
          <w:sz w:val="17"/>
        </w:rPr>
        <w:t>ies less capital expenditures net of proceeds from the sale of property, plant and equipment.  Adjusted free cash flow is defined as free cash flow excluding the impact of cash payments for restructuring and acquisition-related costs and cash payments rela</w:t>
      </w:r>
      <w:r>
        <w:rPr>
          <w:sz w:val="17"/>
        </w:rPr>
        <w:t>ted to the Malvern fire, including payments for capital expenditures, net of recoveries. We believe free cash flow and Adjusted free cash flow are meaningful measures as they are commonly utilized by management and investors to assess our ability to genera</w:t>
      </w:r>
      <w:r>
        <w:rPr>
          <w:sz w:val="17"/>
        </w:rPr>
        <w:t>te cash flow from business operations to repay debt and return capital to our stockholders.  Free cash flow and Adjusted free cash flow are also key metrics used in our calculation of incentive compensation.  Other companies may calculate free cash flow an</w:t>
      </w:r>
      <w:r>
        <w:rPr>
          <w:sz w:val="17"/>
        </w:rPr>
        <w:t xml:space="preserve">d Adjusted free cash flow differently. </w:t>
      </w:r>
    </w:p>
    <w:sectPr w:rsidR="00DE25E4">
      <w:pgSz w:w="12240" w:h="15840"/>
      <w:pgMar w:top="720" w:right="720" w:bottom="720" w:left="720" w:header="0" w:footer="2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D30C9">
      <w:r>
        <w:separator/>
      </w:r>
    </w:p>
  </w:endnote>
  <w:endnote w:type="continuationSeparator" w:id="0">
    <w:p w:rsidR="00000000" w:rsidRDefault="00AD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5E4" w:rsidRDefault="00AD30C9">
    <w:pPr>
      <w:spacing w:line="288" w:lineRule="auto"/>
      <w:ind w:left="270"/>
      <w:jc w:val="center"/>
      <w:rPr>
        <w:sz w:val="20"/>
      </w:rPr>
    </w:pPr>
    <w:r>
      <w:rPr>
        <w:sz w:val="20"/>
      </w:rPr>
      <w:fldChar w:fldCharType="begin"/>
    </w:r>
    <w:r>
      <w:rPr>
        <w:sz w:val="20"/>
      </w:rPr>
      <w:instrText xml:space="preserve"> PAGE </w:instrText>
    </w:r>
    <w:r>
      <w:rPr>
        <w:sz w:val="20"/>
      </w:rPr>
      <w:fldChar w:fldCharType="separate"/>
    </w:r>
    <w:r>
      <w:rPr>
        <w:sz w:val="20"/>
      </w:rPr>
      <w:t>4</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5E4" w:rsidRDefault="00AD30C9">
    <w:pPr>
      <w:spacing w:line="288" w:lineRule="auto"/>
      <w:ind w:left="270" w:right="270"/>
      <w:jc w:val="center"/>
      <w:rPr>
        <w:sz w:val="20"/>
      </w:rPr>
    </w:pPr>
    <w:r>
      <w:rPr>
        <w:sz w:val="20"/>
      </w:rPr>
      <w:fldChar w:fldCharType="begin"/>
    </w:r>
    <w:r>
      <w:rPr>
        <w:sz w:val="20"/>
      </w:rPr>
      <w:instrText xml:space="preserve"> PAGE </w:instrText>
    </w:r>
    <w:r>
      <w:rPr>
        <w:sz w:val="20"/>
      </w:rPr>
      <w:fldChar w:fldCharType="separate"/>
    </w:r>
    <w:r>
      <w:rPr>
        <w:sz w:val="20"/>
      </w:rPr>
      <w:t>10</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D30C9">
      <w:r>
        <w:separator/>
      </w:r>
    </w:p>
  </w:footnote>
  <w:footnote w:type="continuationSeparator" w:id="0">
    <w:p w:rsidR="00000000" w:rsidRDefault="00AD3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5E4" w:rsidRDefault="00DE25E4">
    <w:pPr>
      <w:spacing w:line="288" w:lineRule="auto"/>
      <w:ind w:left="27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5E4" w:rsidRDefault="00DE25E4">
    <w:pPr>
      <w:spacing w:line="288" w:lineRule="auto"/>
      <w:ind w:left="270" w:right="27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styleLink w:val="bulletasterisk"/>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1" w15:restartNumberingAfterBreak="0">
    <w:nsid w:val="00000002"/>
    <w:multiLevelType w:val="multilevel"/>
    <w:tmpl w:val="00000002"/>
    <w:styleLink w:val="bulletcircl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2" w15:restartNumberingAfterBreak="0">
    <w:nsid w:val="00000003"/>
    <w:multiLevelType w:val="multilevel"/>
    <w:tmpl w:val="00000003"/>
    <w:styleLink w:val="bulletdagger"/>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3" w15:restartNumberingAfterBreak="0">
    <w:nsid w:val="00000004"/>
    <w:multiLevelType w:val="multilevel"/>
    <w:tmpl w:val="00000004"/>
    <w:styleLink w:val="bulletdash"/>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4" w15:restartNumberingAfterBreak="0">
    <w:nsid w:val="00000005"/>
    <w:multiLevelType w:val="multilevel"/>
    <w:tmpl w:val="00000005"/>
    <w:styleLink w:val="bulletlargebox"/>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5" w15:restartNumberingAfterBreak="0">
    <w:nsid w:val="00000006"/>
    <w:multiLevelType w:val="multilevel"/>
    <w:tmpl w:val="00000006"/>
    <w:styleLink w:val="bulletround"/>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6" w15:restartNumberingAfterBreak="0">
    <w:nsid w:val="00000007"/>
    <w:multiLevelType w:val="multilevel"/>
    <w:tmpl w:val="00000007"/>
    <w:styleLink w:val="bulletsquar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7" w15:restartNumberingAfterBreak="0">
    <w:nsid w:val="00000008"/>
    <w:multiLevelType w:val="multilevel"/>
    <w:tmpl w:val="00000008"/>
    <w:styleLink w:val="listarabi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styleLink w:val="listlatinlowercas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9" w15:restartNumberingAfterBreak="0">
    <w:nsid w:val="0000000A"/>
    <w:multiLevelType w:val="multilevel"/>
    <w:tmpl w:val="0000000A"/>
    <w:styleLink w:val="listlatinuppercas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styleLink w:val="listromanlowercase"/>
    <w:lvl w:ilvl="0">
      <w:start w:val="1"/>
      <w:numFmt w:val="low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lowerRoman"/>
      <w:lvlText w:val="%7."/>
      <w:lvlJc w:val="right"/>
      <w:pPr>
        <w:tabs>
          <w:tab w:val="num" w:pos="5040"/>
        </w:tabs>
        <w:ind w:left="5040" w:hanging="360"/>
      </w:pPr>
    </w:lvl>
    <w:lvl w:ilvl="7">
      <w:start w:val="1"/>
      <w:numFmt w:val="decimal"/>
      <w:lvlText w:val="%8."/>
      <w:lvlJc w:val="left"/>
      <w:pPr>
        <w:tabs>
          <w:tab w:val="num" w:pos="5760"/>
        </w:tabs>
        <w:ind w:left="5760" w:hanging="360"/>
      </w:pPr>
    </w:lvl>
    <w:lvl w:ilvl="8">
      <w:start w:val="1"/>
      <w:numFmt w:val="lowerLetter"/>
      <w:lvlText w:val="%9."/>
      <w:lvlJc w:val="left"/>
      <w:pPr>
        <w:tabs>
          <w:tab w:val="num" w:pos="6480"/>
        </w:tabs>
        <w:ind w:left="6480" w:hanging="180"/>
      </w:pPr>
    </w:lvl>
  </w:abstractNum>
  <w:abstractNum w:abstractNumId="11" w15:restartNumberingAfterBreak="0">
    <w:nsid w:val="0000000C"/>
    <w:multiLevelType w:val="multilevel"/>
    <w:tmpl w:val="0000000C"/>
    <w:styleLink w:val="listromanuppercase"/>
    <w:lvl w:ilvl="0">
      <w:start w:val="1"/>
      <w:numFmt w:val="upperRoman"/>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12" w15:restartNumberingAfterBreak="0">
    <w:nsid w:val="0000000D"/>
    <w:multiLevelType w:val="hybridMultilevel"/>
    <w:tmpl w:val="0000000D"/>
    <w:lvl w:ilvl="0" w:tplc="103ACAF6">
      <w:start w:val="1"/>
      <w:numFmt w:val="bullet"/>
      <w:lvlText w:val="•"/>
      <w:lvlJc w:val="left"/>
      <w:pPr>
        <w:tabs>
          <w:tab w:val="num" w:pos="765"/>
        </w:tabs>
        <w:ind w:left="720" w:hanging="360"/>
      </w:pPr>
      <w:rPr>
        <w:rFonts w:ascii="Times New Roman" w:eastAsia="Times New Roman" w:hAnsi="Times New Roman" w:cs="Times New Roman"/>
        <w:b w:val="0"/>
        <w:i w:val="0"/>
        <w:strike w:val="0"/>
        <w:sz w:val="20"/>
      </w:rPr>
    </w:lvl>
    <w:lvl w:ilvl="1" w:tplc="EFB6CF14">
      <w:start w:val="1"/>
      <w:numFmt w:val="bullet"/>
      <w:lvlText w:val="o"/>
      <w:lvlJc w:val="left"/>
      <w:pPr>
        <w:tabs>
          <w:tab w:val="num" w:pos="1440"/>
        </w:tabs>
        <w:ind w:left="1440" w:hanging="360"/>
      </w:pPr>
      <w:rPr>
        <w:rFonts w:ascii="Courier New" w:hAnsi="Courier New"/>
      </w:rPr>
    </w:lvl>
    <w:lvl w:ilvl="2" w:tplc="D896716C">
      <w:start w:val="1"/>
      <w:numFmt w:val="bullet"/>
      <w:lvlText w:val=""/>
      <w:lvlJc w:val="left"/>
      <w:pPr>
        <w:tabs>
          <w:tab w:val="num" w:pos="2160"/>
        </w:tabs>
        <w:ind w:left="2160" w:hanging="360"/>
      </w:pPr>
      <w:rPr>
        <w:rFonts w:ascii="Wingdings" w:hAnsi="Wingdings"/>
      </w:rPr>
    </w:lvl>
    <w:lvl w:ilvl="3" w:tplc="AE00C5B0">
      <w:start w:val="1"/>
      <w:numFmt w:val="bullet"/>
      <w:lvlText w:val=""/>
      <w:lvlJc w:val="left"/>
      <w:pPr>
        <w:tabs>
          <w:tab w:val="num" w:pos="2880"/>
        </w:tabs>
        <w:ind w:left="2880" w:hanging="360"/>
      </w:pPr>
      <w:rPr>
        <w:rFonts w:ascii="Symbol" w:hAnsi="Symbol"/>
      </w:rPr>
    </w:lvl>
    <w:lvl w:ilvl="4" w:tplc="A740BABC">
      <w:start w:val="1"/>
      <w:numFmt w:val="bullet"/>
      <w:lvlText w:val="o"/>
      <w:lvlJc w:val="left"/>
      <w:pPr>
        <w:tabs>
          <w:tab w:val="num" w:pos="3600"/>
        </w:tabs>
        <w:ind w:left="3600" w:hanging="360"/>
      </w:pPr>
      <w:rPr>
        <w:rFonts w:ascii="Courier New" w:hAnsi="Courier New"/>
      </w:rPr>
    </w:lvl>
    <w:lvl w:ilvl="5" w:tplc="45BE0350">
      <w:start w:val="1"/>
      <w:numFmt w:val="bullet"/>
      <w:lvlText w:val=""/>
      <w:lvlJc w:val="left"/>
      <w:pPr>
        <w:tabs>
          <w:tab w:val="num" w:pos="4320"/>
        </w:tabs>
        <w:ind w:left="4320" w:hanging="360"/>
      </w:pPr>
      <w:rPr>
        <w:rFonts w:ascii="Wingdings" w:hAnsi="Wingdings"/>
      </w:rPr>
    </w:lvl>
    <w:lvl w:ilvl="6" w:tplc="4D18F6C8">
      <w:start w:val="1"/>
      <w:numFmt w:val="bullet"/>
      <w:lvlText w:val=""/>
      <w:lvlJc w:val="left"/>
      <w:pPr>
        <w:tabs>
          <w:tab w:val="num" w:pos="5040"/>
        </w:tabs>
        <w:ind w:left="5040" w:hanging="360"/>
      </w:pPr>
      <w:rPr>
        <w:rFonts w:ascii="Symbol" w:hAnsi="Symbol"/>
      </w:rPr>
    </w:lvl>
    <w:lvl w:ilvl="7" w:tplc="DDEE895E">
      <w:start w:val="1"/>
      <w:numFmt w:val="bullet"/>
      <w:lvlText w:val="o"/>
      <w:lvlJc w:val="left"/>
      <w:pPr>
        <w:tabs>
          <w:tab w:val="num" w:pos="5760"/>
        </w:tabs>
        <w:ind w:left="5760" w:hanging="360"/>
      </w:pPr>
      <w:rPr>
        <w:rFonts w:ascii="Courier New" w:hAnsi="Courier New"/>
      </w:rPr>
    </w:lvl>
    <w:lvl w:ilvl="8" w:tplc="6BB6B71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C2FCCD56">
      <w:start w:val="1"/>
      <w:numFmt w:val="bullet"/>
      <w:lvlText w:val="•"/>
      <w:lvlJc w:val="left"/>
      <w:pPr>
        <w:tabs>
          <w:tab w:val="num" w:pos="765"/>
        </w:tabs>
        <w:ind w:left="720" w:hanging="360"/>
      </w:pPr>
      <w:rPr>
        <w:rFonts w:ascii="Times New Roman" w:eastAsia="Times New Roman" w:hAnsi="Times New Roman" w:cs="Times New Roman"/>
        <w:b w:val="0"/>
        <w:i w:val="0"/>
        <w:strike w:val="0"/>
        <w:sz w:val="20"/>
      </w:rPr>
    </w:lvl>
    <w:lvl w:ilvl="1" w:tplc="D99AA21E">
      <w:start w:val="1"/>
      <w:numFmt w:val="bullet"/>
      <w:lvlText w:val="o"/>
      <w:lvlJc w:val="left"/>
      <w:pPr>
        <w:tabs>
          <w:tab w:val="num" w:pos="1440"/>
        </w:tabs>
        <w:ind w:left="1440" w:hanging="360"/>
      </w:pPr>
      <w:rPr>
        <w:rFonts w:ascii="Courier New" w:hAnsi="Courier New"/>
      </w:rPr>
    </w:lvl>
    <w:lvl w:ilvl="2" w:tplc="E43A31DC">
      <w:start w:val="1"/>
      <w:numFmt w:val="bullet"/>
      <w:lvlText w:val=""/>
      <w:lvlJc w:val="left"/>
      <w:pPr>
        <w:tabs>
          <w:tab w:val="num" w:pos="2160"/>
        </w:tabs>
        <w:ind w:left="2160" w:hanging="360"/>
      </w:pPr>
      <w:rPr>
        <w:rFonts w:ascii="Wingdings" w:hAnsi="Wingdings"/>
      </w:rPr>
    </w:lvl>
    <w:lvl w:ilvl="3" w:tplc="4C5608D8">
      <w:start w:val="1"/>
      <w:numFmt w:val="bullet"/>
      <w:lvlText w:val=""/>
      <w:lvlJc w:val="left"/>
      <w:pPr>
        <w:tabs>
          <w:tab w:val="num" w:pos="2880"/>
        </w:tabs>
        <w:ind w:left="2880" w:hanging="360"/>
      </w:pPr>
      <w:rPr>
        <w:rFonts w:ascii="Symbol" w:hAnsi="Symbol"/>
      </w:rPr>
    </w:lvl>
    <w:lvl w:ilvl="4" w:tplc="8256AD1C">
      <w:start w:val="1"/>
      <w:numFmt w:val="bullet"/>
      <w:lvlText w:val="o"/>
      <w:lvlJc w:val="left"/>
      <w:pPr>
        <w:tabs>
          <w:tab w:val="num" w:pos="3600"/>
        </w:tabs>
        <w:ind w:left="3600" w:hanging="360"/>
      </w:pPr>
      <w:rPr>
        <w:rFonts w:ascii="Courier New" w:hAnsi="Courier New"/>
      </w:rPr>
    </w:lvl>
    <w:lvl w:ilvl="5" w:tplc="92820612">
      <w:start w:val="1"/>
      <w:numFmt w:val="bullet"/>
      <w:lvlText w:val=""/>
      <w:lvlJc w:val="left"/>
      <w:pPr>
        <w:tabs>
          <w:tab w:val="num" w:pos="4320"/>
        </w:tabs>
        <w:ind w:left="4320" w:hanging="360"/>
      </w:pPr>
      <w:rPr>
        <w:rFonts w:ascii="Wingdings" w:hAnsi="Wingdings"/>
      </w:rPr>
    </w:lvl>
    <w:lvl w:ilvl="6" w:tplc="191CAA28">
      <w:start w:val="1"/>
      <w:numFmt w:val="bullet"/>
      <w:lvlText w:val=""/>
      <w:lvlJc w:val="left"/>
      <w:pPr>
        <w:tabs>
          <w:tab w:val="num" w:pos="5040"/>
        </w:tabs>
        <w:ind w:left="5040" w:hanging="360"/>
      </w:pPr>
      <w:rPr>
        <w:rFonts w:ascii="Symbol" w:hAnsi="Symbol"/>
      </w:rPr>
    </w:lvl>
    <w:lvl w:ilvl="7" w:tplc="3EA47ED6">
      <w:start w:val="1"/>
      <w:numFmt w:val="bullet"/>
      <w:lvlText w:val="o"/>
      <w:lvlJc w:val="left"/>
      <w:pPr>
        <w:tabs>
          <w:tab w:val="num" w:pos="5760"/>
        </w:tabs>
        <w:ind w:left="5760" w:hanging="360"/>
      </w:pPr>
      <w:rPr>
        <w:rFonts w:ascii="Courier New" w:hAnsi="Courier New"/>
      </w:rPr>
    </w:lvl>
    <w:lvl w:ilvl="8" w:tplc="4CA6F304">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2C120E0C">
      <w:start w:val="1"/>
      <w:numFmt w:val="bullet"/>
      <w:lvlText w:val="•"/>
      <w:lvlJc w:val="left"/>
      <w:pPr>
        <w:tabs>
          <w:tab w:val="num" w:pos="765"/>
        </w:tabs>
        <w:ind w:left="720" w:hanging="360"/>
      </w:pPr>
      <w:rPr>
        <w:rFonts w:ascii="Times New Roman" w:eastAsia="Times New Roman" w:hAnsi="Times New Roman" w:cs="Times New Roman"/>
        <w:b w:val="0"/>
        <w:i w:val="0"/>
        <w:strike w:val="0"/>
        <w:sz w:val="20"/>
      </w:rPr>
    </w:lvl>
    <w:lvl w:ilvl="1" w:tplc="5F0838BC">
      <w:start w:val="1"/>
      <w:numFmt w:val="bullet"/>
      <w:lvlText w:val="o"/>
      <w:lvlJc w:val="left"/>
      <w:pPr>
        <w:tabs>
          <w:tab w:val="num" w:pos="1440"/>
        </w:tabs>
        <w:ind w:left="1440" w:hanging="360"/>
      </w:pPr>
      <w:rPr>
        <w:rFonts w:ascii="Courier New" w:hAnsi="Courier New"/>
      </w:rPr>
    </w:lvl>
    <w:lvl w:ilvl="2" w:tplc="D4F2F248">
      <w:start w:val="1"/>
      <w:numFmt w:val="bullet"/>
      <w:lvlText w:val=""/>
      <w:lvlJc w:val="left"/>
      <w:pPr>
        <w:tabs>
          <w:tab w:val="num" w:pos="2160"/>
        </w:tabs>
        <w:ind w:left="2160" w:hanging="360"/>
      </w:pPr>
      <w:rPr>
        <w:rFonts w:ascii="Wingdings" w:hAnsi="Wingdings"/>
      </w:rPr>
    </w:lvl>
    <w:lvl w:ilvl="3" w:tplc="4592520E">
      <w:start w:val="1"/>
      <w:numFmt w:val="bullet"/>
      <w:lvlText w:val=""/>
      <w:lvlJc w:val="left"/>
      <w:pPr>
        <w:tabs>
          <w:tab w:val="num" w:pos="2880"/>
        </w:tabs>
        <w:ind w:left="2880" w:hanging="360"/>
      </w:pPr>
      <w:rPr>
        <w:rFonts w:ascii="Symbol" w:hAnsi="Symbol"/>
      </w:rPr>
    </w:lvl>
    <w:lvl w:ilvl="4" w:tplc="6E785FA8">
      <w:start w:val="1"/>
      <w:numFmt w:val="bullet"/>
      <w:lvlText w:val="o"/>
      <w:lvlJc w:val="left"/>
      <w:pPr>
        <w:tabs>
          <w:tab w:val="num" w:pos="3600"/>
        </w:tabs>
        <w:ind w:left="3600" w:hanging="360"/>
      </w:pPr>
      <w:rPr>
        <w:rFonts w:ascii="Courier New" w:hAnsi="Courier New"/>
      </w:rPr>
    </w:lvl>
    <w:lvl w:ilvl="5" w:tplc="33EE7F36">
      <w:start w:val="1"/>
      <w:numFmt w:val="bullet"/>
      <w:lvlText w:val=""/>
      <w:lvlJc w:val="left"/>
      <w:pPr>
        <w:tabs>
          <w:tab w:val="num" w:pos="4320"/>
        </w:tabs>
        <w:ind w:left="4320" w:hanging="360"/>
      </w:pPr>
      <w:rPr>
        <w:rFonts w:ascii="Wingdings" w:hAnsi="Wingdings"/>
      </w:rPr>
    </w:lvl>
    <w:lvl w:ilvl="6" w:tplc="BD0269E0">
      <w:start w:val="1"/>
      <w:numFmt w:val="bullet"/>
      <w:lvlText w:val=""/>
      <w:lvlJc w:val="left"/>
      <w:pPr>
        <w:tabs>
          <w:tab w:val="num" w:pos="5040"/>
        </w:tabs>
        <w:ind w:left="5040" w:hanging="360"/>
      </w:pPr>
      <w:rPr>
        <w:rFonts w:ascii="Symbol" w:hAnsi="Symbol"/>
      </w:rPr>
    </w:lvl>
    <w:lvl w:ilvl="7" w:tplc="3906E738">
      <w:start w:val="1"/>
      <w:numFmt w:val="bullet"/>
      <w:lvlText w:val="o"/>
      <w:lvlJc w:val="left"/>
      <w:pPr>
        <w:tabs>
          <w:tab w:val="num" w:pos="5760"/>
        </w:tabs>
        <w:ind w:left="5760" w:hanging="360"/>
      </w:pPr>
      <w:rPr>
        <w:rFonts w:ascii="Courier New" w:hAnsi="Courier New"/>
      </w:rPr>
    </w:lvl>
    <w:lvl w:ilvl="8" w:tplc="0744F94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B22026C2">
      <w:start w:val="1"/>
      <w:numFmt w:val="bullet"/>
      <w:lvlText w:val="•"/>
      <w:lvlJc w:val="left"/>
      <w:pPr>
        <w:tabs>
          <w:tab w:val="num" w:pos="765"/>
        </w:tabs>
        <w:ind w:left="720" w:hanging="360"/>
      </w:pPr>
      <w:rPr>
        <w:rFonts w:ascii="Times New Roman" w:eastAsia="Times New Roman" w:hAnsi="Times New Roman" w:cs="Times New Roman"/>
        <w:b w:val="0"/>
        <w:i w:val="0"/>
        <w:strike w:val="0"/>
        <w:sz w:val="20"/>
      </w:rPr>
    </w:lvl>
    <w:lvl w:ilvl="1" w:tplc="4CCA712A">
      <w:start w:val="1"/>
      <w:numFmt w:val="bullet"/>
      <w:lvlText w:val="o"/>
      <w:lvlJc w:val="left"/>
      <w:pPr>
        <w:tabs>
          <w:tab w:val="num" w:pos="1440"/>
        </w:tabs>
        <w:ind w:left="1440" w:hanging="360"/>
      </w:pPr>
      <w:rPr>
        <w:rFonts w:ascii="Courier New" w:hAnsi="Courier New"/>
      </w:rPr>
    </w:lvl>
    <w:lvl w:ilvl="2" w:tplc="F13C1C10">
      <w:start w:val="1"/>
      <w:numFmt w:val="bullet"/>
      <w:lvlText w:val=""/>
      <w:lvlJc w:val="left"/>
      <w:pPr>
        <w:tabs>
          <w:tab w:val="num" w:pos="2160"/>
        </w:tabs>
        <w:ind w:left="2160" w:hanging="360"/>
      </w:pPr>
      <w:rPr>
        <w:rFonts w:ascii="Wingdings" w:hAnsi="Wingdings"/>
      </w:rPr>
    </w:lvl>
    <w:lvl w:ilvl="3" w:tplc="ED86CD78">
      <w:start w:val="1"/>
      <w:numFmt w:val="bullet"/>
      <w:lvlText w:val=""/>
      <w:lvlJc w:val="left"/>
      <w:pPr>
        <w:tabs>
          <w:tab w:val="num" w:pos="2880"/>
        </w:tabs>
        <w:ind w:left="2880" w:hanging="360"/>
      </w:pPr>
      <w:rPr>
        <w:rFonts w:ascii="Symbol" w:hAnsi="Symbol"/>
      </w:rPr>
    </w:lvl>
    <w:lvl w:ilvl="4" w:tplc="FAC4FABE">
      <w:start w:val="1"/>
      <w:numFmt w:val="bullet"/>
      <w:lvlText w:val="o"/>
      <w:lvlJc w:val="left"/>
      <w:pPr>
        <w:tabs>
          <w:tab w:val="num" w:pos="3600"/>
        </w:tabs>
        <w:ind w:left="3600" w:hanging="360"/>
      </w:pPr>
      <w:rPr>
        <w:rFonts w:ascii="Courier New" w:hAnsi="Courier New"/>
      </w:rPr>
    </w:lvl>
    <w:lvl w:ilvl="5" w:tplc="D338871A">
      <w:start w:val="1"/>
      <w:numFmt w:val="bullet"/>
      <w:lvlText w:val=""/>
      <w:lvlJc w:val="left"/>
      <w:pPr>
        <w:tabs>
          <w:tab w:val="num" w:pos="4320"/>
        </w:tabs>
        <w:ind w:left="4320" w:hanging="360"/>
      </w:pPr>
      <w:rPr>
        <w:rFonts w:ascii="Wingdings" w:hAnsi="Wingdings"/>
      </w:rPr>
    </w:lvl>
    <w:lvl w:ilvl="6" w:tplc="894EF1C6">
      <w:start w:val="1"/>
      <w:numFmt w:val="bullet"/>
      <w:lvlText w:val=""/>
      <w:lvlJc w:val="left"/>
      <w:pPr>
        <w:tabs>
          <w:tab w:val="num" w:pos="5040"/>
        </w:tabs>
        <w:ind w:left="5040" w:hanging="360"/>
      </w:pPr>
      <w:rPr>
        <w:rFonts w:ascii="Symbol" w:hAnsi="Symbol"/>
      </w:rPr>
    </w:lvl>
    <w:lvl w:ilvl="7" w:tplc="FCDAE32C">
      <w:start w:val="1"/>
      <w:numFmt w:val="bullet"/>
      <w:lvlText w:val="o"/>
      <w:lvlJc w:val="left"/>
      <w:pPr>
        <w:tabs>
          <w:tab w:val="num" w:pos="5760"/>
        </w:tabs>
        <w:ind w:left="5760" w:hanging="360"/>
      </w:pPr>
      <w:rPr>
        <w:rFonts w:ascii="Courier New" w:hAnsi="Courier New"/>
      </w:rPr>
    </w:lvl>
    <w:lvl w:ilvl="8" w:tplc="D27A4452">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8A803F4">
      <w:start w:val="1"/>
      <w:numFmt w:val="bullet"/>
      <w:lvlText w:val="•"/>
      <w:lvlJc w:val="left"/>
      <w:pPr>
        <w:tabs>
          <w:tab w:val="num" w:pos="765"/>
        </w:tabs>
        <w:ind w:left="720" w:hanging="360"/>
      </w:pPr>
      <w:rPr>
        <w:rFonts w:ascii="Times New Roman" w:eastAsia="Times New Roman" w:hAnsi="Times New Roman" w:cs="Times New Roman"/>
        <w:b w:val="0"/>
        <w:i w:val="0"/>
        <w:strike w:val="0"/>
        <w:sz w:val="20"/>
      </w:rPr>
    </w:lvl>
    <w:lvl w:ilvl="1" w:tplc="0B143B52">
      <w:start w:val="1"/>
      <w:numFmt w:val="bullet"/>
      <w:lvlText w:val="o"/>
      <w:lvlJc w:val="left"/>
      <w:pPr>
        <w:tabs>
          <w:tab w:val="num" w:pos="1440"/>
        </w:tabs>
        <w:ind w:left="1440" w:hanging="360"/>
      </w:pPr>
      <w:rPr>
        <w:rFonts w:ascii="Courier New" w:hAnsi="Courier New"/>
      </w:rPr>
    </w:lvl>
    <w:lvl w:ilvl="2" w:tplc="1F44E1B2">
      <w:start w:val="1"/>
      <w:numFmt w:val="bullet"/>
      <w:lvlText w:val=""/>
      <w:lvlJc w:val="left"/>
      <w:pPr>
        <w:tabs>
          <w:tab w:val="num" w:pos="2160"/>
        </w:tabs>
        <w:ind w:left="2160" w:hanging="360"/>
      </w:pPr>
      <w:rPr>
        <w:rFonts w:ascii="Wingdings" w:hAnsi="Wingdings"/>
      </w:rPr>
    </w:lvl>
    <w:lvl w:ilvl="3" w:tplc="F6B08996">
      <w:start w:val="1"/>
      <w:numFmt w:val="bullet"/>
      <w:lvlText w:val=""/>
      <w:lvlJc w:val="left"/>
      <w:pPr>
        <w:tabs>
          <w:tab w:val="num" w:pos="2880"/>
        </w:tabs>
        <w:ind w:left="2880" w:hanging="360"/>
      </w:pPr>
      <w:rPr>
        <w:rFonts w:ascii="Symbol" w:hAnsi="Symbol"/>
      </w:rPr>
    </w:lvl>
    <w:lvl w:ilvl="4" w:tplc="D670177C">
      <w:start w:val="1"/>
      <w:numFmt w:val="bullet"/>
      <w:lvlText w:val="o"/>
      <w:lvlJc w:val="left"/>
      <w:pPr>
        <w:tabs>
          <w:tab w:val="num" w:pos="3600"/>
        </w:tabs>
        <w:ind w:left="3600" w:hanging="360"/>
      </w:pPr>
      <w:rPr>
        <w:rFonts w:ascii="Courier New" w:hAnsi="Courier New"/>
      </w:rPr>
    </w:lvl>
    <w:lvl w:ilvl="5" w:tplc="43A8F33C">
      <w:start w:val="1"/>
      <w:numFmt w:val="bullet"/>
      <w:lvlText w:val=""/>
      <w:lvlJc w:val="left"/>
      <w:pPr>
        <w:tabs>
          <w:tab w:val="num" w:pos="4320"/>
        </w:tabs>
        <w:ind w:left="4320" w:hanging="360"/>
      </w:pPr>
      <w:rPr>
        <w:rFonts w:ascii="Wingdings" w:hAnsi="Wingdings"/>
      </w:rPr>
    </w:lvl>
    <w:lvl w:ilvl="6" w:tplc="DA523B52">
      <w:start w:val="1"/>
      <w:numFmt w:val="bullet"/>
      <w:lvlText w:val=""/>
      <w:lvlJc w:val="left"/>
      <w:pPr>
        <w:tabs>
          <w:tab w:val="num" w:pos="5040"/>
        </w:tabs>
        <w:ind w:left="5040" w:hanging="360"/>
      </w:pPr>
      <w:rPr>
        <w:rFonts w:ascii="Symbol" w:hAnsi="Symbol"/>
      </w:rPr>
    </w:lvl>
    <w:lvl w:ilvl="7" w:tplc="38E662D6">
      <w:start w:val="1"/>
      <w:numFmt w:val="bullet"/>
      <w:lvlText w:val="o"/>
      <w:lvlJc w:val="left"/>
      <w:pPr>
        <w:tabs>
          <w:tab w:val="num" w:pos="5760"/>
        </w:tabs>
        <w:ind w:left="5760" w:hanging="360"/>
      </w:pPr>
      <w:rPr>
        <w:rFonts w:ascii="Courier New" w:hAnsi="Courier New"/>
      </w:rPr>
    </w:lvl>
    <w:lvl w:ilvl="8" w:tplc="27E4AFAC">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BECC161E">
      <w:start w:val="1"/>
      <w:numFmt w:val="bullet"/>
      <w:lvlText w:val="•"/>
      <w:lvlJc w:val="left"/>
      <w:pPr>
        <w:tabs>
          <w:tab w:val="num" w:pos="765"/>
        </w:tabs>
        <w:ind w:left="720" w:hanging="360"/>
      </w:pPr>
      <w:rPr>
        <w:rFonts w:ascii="Times New Roman" w:eastAsia="Times New Roman" w:hAnsi="Times New Roman" w:cs="Times New Roman"/>
        <w:b w:val="0"/>
        <w:i w:val="0"/>
        <w:strike w:val="0"/>
        <w:sz w:val="20"/>
      </w:rPr>
    </w:lvl>
    <w:lvl w:ilvl="1" w:tplc="C5504B90">
      <w:start w:val="1"/>
      <w:numFmt w:val="bullet"/>
      <w:lvlText w:val="o"/>
      <w:lvlJc w:val="left"/>
      <w:pPr>
        <w:tabs>
          <w:tab w:val="num" w:pos="1440"/>
        </w:tabs>
        <w:ind w:left="1440" w:hanging="360"/>
      </w:pPr>
      <w:rPr>
        <w:rFonts w:ascii="Courier New" w:hAnsi="Courier New"/>
      </w:rPr>
    </w:lvl>
    <w:lvl w:ilvl="2" w:tplc="363625A8">
      <w:start w:val="1"/>
      <w:numFmt w:val="bullet"/>
      <w:lvlText w:val=""/>
      <w:lvlJc w:val="left"/>
      <w:pPr>
        <w:tabs>
          <w:tab w:val="num" w:pos="2160"/>
        </w:tabs>
        <w:ind w:left="2160" w:hanging="360"/>
      </w:pPr>
      <w:rPr>
        <w:rFonts w:ascii="Wingdings" w:hAnsi="Wingdings"/>
      </w:rPr>
    </w:lvl>
    <w:lvl w:ilvl="3" w:tplc="1D3045EE">
      <w:start w:val="1"/>
      <w:numFmt w:val="bullet"/>
      <w:lvlText w:val=""/>
      <w:lvlJc w:val="left"/>
      <w:pPr>
        <w:tabs>
          <w:tab w:val="num" w:pos="2880"/>
        </w:tabs>
        <w:ind w:left="2880" w:hanging="360"/>
      </w:pPr>
      <w:rPr>
        <w:rFonts w:ascii="Symbol" w:hAnsi="Symbol"/>
      </w:rPr>
    </w:lvl>
    <w:lvl w:ilvl="4" w:tplc="4A8894F0">
      <w:start w:val="1"/>
      <w:numFmt w:val="bullet"/>
      <w:lvlText w:val="o"/>
      <w:lvlJc w:val="left"/>
      <w:pPr>
        <w:tabs>
          <w:tab w:val="num" w:pos="3600"/>
        </w:tabs>
        <w:ind w:left="3600" w:hanging="360"/>
      </w:pPr>
      <w:rPr>
        <w:rFonts w:ascii="Courier New" w:hAnsi="Courier New"/>
      </w:rPr>
    </w:lvl>
    <w:lvl w:ilvl="5" w:tplc="59B4CB06">
      <w:start w:val="1"/>
      <w:numFmt w:val="bullet"/>
      <w:lvlText w:val=""/>
      <w:lvlJc w:val="left"/>
      <w:pPr>
        <w:tabs>
          <w:tab w:val="num" w:pos="4320"/>
        </w:tabs>
        <w:ind w:left="4320" w:hanging="360"/>
      </w:pPr>
      <w:rPr>
        <w:rFonts w:ascii="Wingdings" w:hAnsi="Wingdings"/>
      </w:rPr>
    </w:lvl>
    <w:lvl w:ilvl="6" w:tplc="1C66BD5A">
      <w:start w:val="1"/>
      <w:numFmt w:val="bullet"/>
      <w:lvlText w:val=""/>
      <w:lvlJc w:val="left"/>
      <w:pPr>
        <w:tabs>
          <w:tab w:val="num" w:pos="5040"/>
        </w:tabs>
        <w:ind w:left="5040" w:hanging="360"/>
      </w:pPr>
      <w:rPr>
        <w:rFonts w:ascii="Symbol" w:hAnsi="Symbol"/>
      </w:rPr>
    </w:lvl>
    <w:lvl w:ilvl="7" w:tplc="D15C4C6C">
      <w:start w:val="1"/>
      <w:numFmt w:val="bullet"/>
      <w:lvlText w:val="o"/>
      <w:lvlJc w:val="left"/>
      <w:pPr>
        <w:tabs>
          <w:tab w:val="num" w:pos="5760"/>
        </w:tabs>
        <w:ind w:left="5760" w:hanging="360"/>
      </w:pPr>
      <w:rPr>
        <w:rFonts w:ascii="Courier New" w:hAnsi="Courier New"/>
      </w:rPr>
    </w:lvl>
    <w:lvl w:ilvl="8" w:tplc="4888D60A">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70D06C88">
      <w:start w:val="1"/>
      <w:numFmt w:val="bullet"/>
      <w:lvlText w:val="•"/>
      <w:lvlJc w:val="left"/>
      <w:pPr>
        <w:tabs>
          <w:tab w:val="num" w:pos="765"/>
        </w:tabs>
        <w:ind w:left="720" w:hanging="360"/>
      </w:pPr>
      <w:rPr>
        <w:rFonts w:ascii="Times New Roman" w:eastAsia="Times New Roman" w:hAnsi="Times New Roman" w:cs="Times New Roman"/>
        <w:b w:val="0"/>
        <w:i w:val="0"/>
        <w:strike w:val="0"/>
        <w:sz w:val="20"/>
      </w:rPr>
    </w:lvl>
    <w:lvl w:ilvl="1" w:tplc="241482D0">
      <w:start w:val="1"/>
      <w:numFmt w:val="bullet"/>
      <w:lvlText w:val="o"/>
      <w:lvlJc w:val="left"/>
      <w:pPr>
        <w:tabs>
          <w:tab w:val="num" w:pos="1440"/>
        </w:tabs>
        <w:ind w:left="1440" w:hanging="360"/>
      </w:pPr>
      <w:rPr>
        <w:rFonts w:ascii="Courier New" w:hAnsi="Courier New"/>
      </w:rPr>
    </w:lvl>
    <w:lvl w:ilvl="2" w:tplc="D5A4B5EA">
      <w:start w:val="1"/>
      <w:numFmt w:val="bullet"/>
      <w:lvlText w:val=""/>
      <w:lvlJc w:val="left"/>
      <w:pPr>
        <w:tabs>
          <w:tab w:val="num" w:pos="2160"/>
        </w:tabs>
        <w:ind w:left="2160" w:hanging="360"/>
      </w:pPr>
      <w:rPr>
        <w:rFonts w:ascii="Wingdings" w:hAnsi="Wingdings"/>
      </w:rPr>
    </w:lvl>
    <w:lvl w:ilvl="3" w:tplc="6792E41C">
      <w:start w:val="1"/>
      <w:numFmt w:val="bullet"/>
      <w:lvlText w:val=""/>
      <w:lvlJc w:val="left"/>
      <w:pPr>
        <w:tabs>
          <w:tab w:val="num" w:pos="2880"/>
        </w:tabs>
        <w:ind w:left="2880" w:hanging="360"/>
      </w:pPr>
      <w:rPr>
        <w:rFonts w:ascii="Symbol" w:hAnsi="Symbol"/>
      </w:rPr>
    </w:lvl>
    <w:lvl w:ilvl="4" w:tplc="AD365DA4">
      <w:start w:val="1"/>
      <w:numFmt w:val="bullet"/>
      <w:lvlText w:val="o"/>
      <w:lvlJc w:val="left"/>
      <w:pPr>
        <w:tabs>
          <w:tab w:val="num" w:pos="3600"/>
        </w:tabs>
        <w:ind w:left="3600" w:hanging="360"/>
      </w:pPr>
      <w:rPr>
        <w:rFonts w:ascii="Courier New" w:hAnsi="Courier New"/>
      </w:rPr>
    </w:lvl>
    <w:lvl w:ilvl="5" w:tplc="EA148F90">
      <w:start w:val="1"/>
      <w:numFmt w:val="bullet"/>
      <w:lvlText w:val=""/>
      <w:lvlJc w:val="left"/>
      <w:pPr>
        <w:tabs>
          <w:tab w:val="num" w:pos="4320"/>
        </w:tabs>
        <w:ind w:left="4320" w:hanging="360"/>
      </w:pPr>
      <w:rPr>
        <w:rFonts w:ascii="Wingdings" w:hAnsi="Wingdings"/>
      </w:rPr>
    </w:lvl>
    <w:lvl w:ilvl="6" w:tplc="FA565CFE">
      <w:start w:val="1"/>
      <w:numFmt w:val="bullet"/>
      <w:lvlText w:val=""/>
      <w:lvlJc w:val="left"/>
      <w:pPr>
        <w:tabs>
          <w:tab w:val="num" w:pos="5040"/>
        </w:tabs>
        <w:ind w:left="5040" w:hanging="360"/>
      </w:pPr>
      <w:rPr>
        <w:rFonts w:ascii="Symbol" w:hAnsi="Symbol"/>
      </w:rPr>
    </w:lvl>
    <w:lvl w:ilvl="7" w:tplc="11DED0E6">
      <w:start w:val="1"/>
      <w:numFmt w:val="bullet"/>
      <w:lvlText w:val="o"/>
      <w:lvlJc w:val="left"/>
      <w:pPr>
        <w:tabs>
          <w:tab w:val="num" w:pos="5760"/>
        </w:tabs>
        <w:ind w:left="5760" w:hanging="360"/>
      </w:pPr>
      <w:rPr>
        <w:rFonts w:ascii="Courier New" w:hAnsi="Courier New"/>
      </w:rPr>
    </w:lvl>
    <w:lvl w:ilvl="8" w:tplc="7E96C03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E1B0971A">
      <w:start w:val="1"/>
      <w:numFmt w:val="bullet"/>
      <w:lvlText w:val="•"/>
      <w:lvlJc w:val="left"/>
      <w:pPr>
        <w:tabs>
          <w:tab w:val="num" w:pos="765"/>
        </w:tabs>
        <w:ind w:left="720" w:hanging="360"/>
      </w:pPr>
      <w:rPr>
        <w:rFonts w:ascii="Times New Roman" w:eastAsia="Times New Roman" w:hAnsi="Times New Roman" w:cs="Times New Roman"/>
        <w:b w:val="0"/>
        <w:i w:val="0"/>
        <w:strike w:val="0"/>
        <w:sz w:val="20"/>
      </w:rPr>
    </w:lvl>
    <w:lvl w:ilvl="1" w:tplc="647A1DE6">
      <w:start w:val="1"/>
      <w:numFmt w:val="bullet"/>
      <w:lvlText w:val="o"/>
      <w:lvlJc w:val="left"/>
      <w:pPr>
        <w:tabs>
          <w:tab w:val="num" w:pos="1440"/>
        </w:tabs>
        <w:ind w:left="1440" w:hanging="360"/>
      </w:pPr>
      <w:rPr>
        <w:rFonts w:ascii="Courier New" w:hAnsi="Courier New"/>
      </w:rPr>
    </w:lvl>
    <w:lvl w:ilvl="2" w:tplc="6B32B6F2">
      <w:start w:val="1"/>
      <w:numFmt w:val="bullet"/>
      <w:lvlText w:val=""/>
      <w:lvlJc w:val="left"/>
      <w:pPr>
        <w:tabs>
          <w:tab w:val="num" w:pos="2160"/>
        </w:tabs>
        <w:ind w:left="2160" w:hanging="360"/>
      </w:pPr>
      <w:rPr>
        <w:rFonts w:ascii="Wingdings" w:hAnsi="Wingdings"/>
      </w:rPr>
    </w:lvl>
    <w:lvl w:ilvl="3" w:tplc="0A743D88">
      <w:start w:val="1"/>
      <w:numFmt w:val="bullet"/>
      <w:lvlText w:val=""/>
      <w:lvlJc w:val="left"/>
      <w:pPr>
        <w:tabs>
          <w:tab w:val="num" w:pos="2880"/>
        </w:tabs>
        <w:ind w:left="2880" w:hanging="360"/>
      </w:pPr>
      <w:rPr>
        <w:rFonts w:ascii="Symbol" w:hAnsi="Symbol"/>
      </w:rPr>
    </w:lvl>
    <w:lvl w:ilvl="4" w:tplc="06461CF0">
      <w:start w:val="1"/>
      <w:numFmt w:val="bullet"/>
      <w:lvlText w:val="o"/>
      <w:lvlJc w:val="left"/>
      <w:pPr>
        <w:tabs>
          <w:tab w:val="num" w:pos="3600"/>
        </w:tabs>
        <w:ind w:left="3600" w:hanging="360"/>
      </w:pPr>
      <w:rPr>
        <w:rFonts w:ascii="Courier New" w:hAnsi="Courier New"/>
      </w:rPr>
    </w:lvl>
    <w:lvl w:ilvl="5" w:tplc="8A4048F4">
      <w:start w:val="1"/>
      <w:numFmt w:val="bullet"/>
      <w:lvlText w:val=""/>
      <w:lvlJc w:val="left"/>
      <w:pPr>
        <w:tabs>
          <w:tab w:val="num" w:pos="4320"/>
        </w:tabs>
        <w:ind w:left="4320" w:hanging="360"/>
      </w:pPr>
      <w:rPr>
        <w:rFonts w:ascii="Wingdings" w:hAnsi="Wingdings"/>
      </w:rPr>
    </w:lvl>
    <w:lvl w:ilvl="6" w:tplc="45007F44">
      <w:start w:val="1"/>
      <w:numFmt w:val="bullet"/>
      <w:lvlText w:val=""/>
      <w:lvlJc w:val="left"/>
      <w:pPr>
        <w:tabs>
          <w:tab w:val="num" w:pos="5040"/>
        </w:tabs>
        <w:ind w:left="5040" w:hanging="360"/>
      </w:pPr>
      <w:rPr>
        <w:rFonts w:ascii="Symbol" w:hAnsi="Symbol"/>
      </w:rPr>
    </w:lvl>
    <w:lvl w:ilvl="7" w:tplc="C41C0570">
      <w:start w:val="1"/>
      <w:numFmt w:val="bullet"/>
      <w:lvlText w:val="o"/>
      <w:lvlJc w:val="left"/>
      <w:pPr>
        <w:tabs>
          <w:tab w:val="num" w:pos="5760"/>
        </w:tabs>
        <w:ind w:left="5760" w:hanging="360"/>
      </w:pPr>
      <w:rPr>
        <w:rFonts w:ascii="Courier New" w:hAnsi="Courier New"/>
      </w:rPr>
    </w:lvl>
    <w:lvl w:ilvl="8" w:tplc="1DF8FAEC">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AC2EE04E">
      <w:start w:val="1"/>
      <w:numFmt w:val="bullet"/>
      <w:lvlText w:val="•"/>
      <w:lvlJc w:val="left"/>
      <w:pPr>
        <w:tabs>
          <w:tab w:val="num" w:pos="765"/>
        </w:tabs>
        <w:ind w:left="720" w:hanging="360"/>
      </w:pPr>
      <w:rPr>
        <w:rFonts w:ascii="Times New Roman" w:eastAsia="Times New Roman" w:hAnsi="Times New Roman" w:cs="Times New Roman"/>
        <w:b w:val="0"/>
        <w:i w:val="0"/>
        <w:strike w:val="0"/>
        <w:sz w:val="20"/>
      </w:rPr>
    </w:lvl>
    <w:lvl w:ilvl="1" w:tplc="AEF21F2C">
      <w:start w:val="1"/>
      <w:numFmt w:val="bullet"/>
      <w:lvlText w:val="o"/>
      <w:lvlJc w:val="left"/>
      <w:pPr>
        <w:tabs>
          <w:tab w:val="num" w:pos="1440"/>
        </w:tabs>
        <w:ind w:left="1440" w:hanging="360"/>
      </w:pPr>
      <w:rPr>
        <w:rFonts w:ascii="Courier New" w:hAnsi="Courier New"/>
      </w:rPr>
    </w:lvl>
    <w:lvl w:ilvl="2" w:tplc="2236F5AC">
      <w:start w:val="1"/>
      <w:numFmt w:val="bullet"/>
      <w:lvlText w:val=""/>
      <w:lvlJc w:val="left"/>
      <w:pPr>
        <w:tabs>
          <w:tab w:val="num" w:pos="2160"/>
        </w:tabs>
        <w:ind w:left="2160" w:hanging="360"/>
      </w:pPr>
      <w:rPr>
        <w:rFonts w:ascii="Wingdings" w:hAnsi="Wingdings"/>
      </w:rPr>
    </w:lvl>
    <w:lvl w:ilvl="3" w:tplc="65562DE4">
      <w:start w:val="1"/>
      <w:numFmt w:val="bullet"/>
      <w:lvlText w:val=""/>
      <w:lvlJc w:val="left"/>
      <w:pPr>
        <w:tabs>
          <w:tab w:val="num" w:pos="2880"/>
        </w:tabs>
        <w:ind w:left="2880" w:hanging="360"/>
      </w:pPr>
      <w:rPr>
        <w:rFonts w:ascii="Symbol" w:hAnsi="Symbol"/>
      </w:rPr>
    </w:lvl>
    <w:lvl w:ilvl="4" w:tplc="F5DC85E4">
      <w:start w:val="1"/>
      <w:numFmt w:val="bullet"/>
      <w:lvlText w:val="o"/>
      <w:lvlJc w:val="left"/>
      <w:pPr>
        <w:tabs>
          <w:tab w:val="num" w:pos="3600"/>
        </w:tabs>
        <w:ind w:left="3600" w:hanging="360"/>
      </w:pPr>
      <w:rPr>
        <w:rFonts w:ascii="Courier New" w:hAnsi="Courier New"/>
      </w:rPr>
    </w:lvl>
    <w:lvl w:ilvl="5" w:tplc="E59AE348">
      <w:start w:val="1"/>
      <w:numFmt w:val="bullet"/>
      <w:lvlText w:val=""/>
      <w:lvlJc w:val="left"/>
      <w:pPr>
        <w:tabs>
          <w:tab w:val="num" w:pos="4320"/>
        </w:tabs>
        <w:ind w:left="4320" w:hanging="360"/>
      </w:pPr>
      <w:rPr>
        <w:rFonts w:ascii="Wingdings" w:hAnsi="Wingdings"/>
      </w:rPr>
    </w:lvl>
    <w:lvl w:ilvl="6" w:tplc="D9D44654">
      <w:start w:val="1"/>
      <w:numFmt w:val="bullet"/>
      <w:lvlText w:val=""/>
      <w:lvlJc w:val="left"/>
      <w:pPr>
        <w:tabs>
          <w:tab w:val="num" w:pos="5040"/>
        </w:tabs>
        <w:ind w:left="5040" w:hanging="360"/>
      </w:pPr>
      <w:rPr>
        <w:rFonts w:ascii="Symbol" w:hAnsi="Symbol"/>
      </w:rPr>
    </w:lvl>
    <w:lvl w:ilvl="7" w:tplc="666CA0CA">
      <w:start w:val="1"/>
      <w:numFmt w:val="bullet"/>
      <w:lvlText w:val="o"/>
      <w:lvlJc w:val="left"/>
      <w:pPr>
        <w:tabs>
          <w:tab w:val="num" w:pos="5760"/>
        </w:tabs>
        <w:ind w:left="5760" w:hanging="360"/>
      </w:pPr>
      <w:rPr>
        <w:rFonts w:ascii="Courier New" w:hAnsi="Courier New"/>
      </w:rPr>
    </w:lvl>
    <w:lvl w:ilvl="8" w:tplc="098A498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870C49CA">
      <w:start w:val="1"/>
      <w:numFmt w:val="bullet"/>
      <w:lvlText w:val="•"/>
      <w:lvlJc w:val="left"/>
      <w:pPr>
        <w:tabs>
          <w:tab w:val="num" w:pos="765"/>
        </w:tabs>
        <w:ind w:left="720" w:hanging="360"/>
      </w:pPr>
      <w:rPr>
        <w:rFonts w:ascii="Times New Roman" w:eastAsia="Times New Roman" w:hAnsi="Times New Roman" w:cs="Times New Roman"/>
        <w:b w:val="0"/>
        <w:i w:val="0"/>
        <w:strike w:val="0"/>
        <w:sz w:val="20"/>
      </w:rPr>
    </w:lvl>
    <w:lvl w:ilvl="1" w:tplc="38429FE6">
      <w:start w:val="1"/>
      <w:numFmt w:val="bullet"/>
      <w:lvlText w:val="o"/>
      <w:lvlJc w:val="left"/>
      <w:pPr>
        <w:tabs>
          <w:tab w:val="num" w:pos="1440"/>
        </w:tabs>
        <w:ind w:left="1440" w:hanging="360"/>
      </w:pPr>
      <w:rPr>
        <w:rFonts w:ascii="Courier New" w:hAnsi="Courier New"/>
      </w:rPr>
    </w:lvl>
    <w:lvl w:ilvl="2" w:tplc="CCD24CF6">
      <w:start w:val="1"/>
      <w:numFmt w:val="bullet"/>
      <w:lvlText w:val=""/>
      <w:lvlJc w:val="left"/>
      <w:pPr>
        <w:tabs>
          <w:tab w:val="num" w:pos="2160"/>
        </w:tabs>
        <w:ind w:left="2160" w:hanging="360"/>
      </w:pPr>
      <w:rPr>
        <w:rFonts w:ascii="Wingdings" w:hAnsi="Wingdings"/>
      </w:rPr>
    </w:lvl>
    <w:lvl w:ilvl="3" w:tplc="CAFE0CCA">
      <w:start w:val="1"/>
      <w:numFmt w:val="bullet"/>
      <w:lvlText w:val=""/>
      <w:lvlJc w:val="left"/>
      <w:pPr>
        <w:tabs>
          <w:tab w:val="num" w:pos="2880"/>
        </w:tabs>
        <w:ind w:left="2880" w:hanging="360"/>
      </w:pPr>
      <w:rPr>
        <w:rFonts w:ascii="Symbol" w:hAnsi="Symbol"/>
      </w:rPr>
    </w:lvl>
    <w:lvl w:ilvl="4" w:tplc="0B122994">
      <w:start w:val="1"/>
      <w:numFmt w:val="bullet"/>
      <w:lvlText w:val="o"/>
      <w:lvlJc w:val="left"/>
      <w:pPr>
        <w:tabs>
          <w:tab w:val="num" w:pos="3600"/>
        </w:tabs>
        <w:ind w:left="3600" w:hanging="360"/>
      </w:pPr>
      <w:rPr>
        <w:rFonts w:ascii="Courier New" w:hAnsi="Courier New"/>
      </w:rPr>
    </w:lvl>
    <w:lvl w:ilvl="5" w:tplc="9FBEA2B0">
      <w:start w:val="1"/>
      <w:numFmt w:val="bullet"/>
      <w:lvlText w:val=""/>
      <w:lvlJc w:val="left"/>
      <w:pPr>
        <w:tabs>
          <w:tab w:val="num" w:pos="4320"/>
        </w:tabs>
        <w:ind w:left="4320" w:hanging="360"/>
      </w:pPr>
      <w:rPr>
        <w:rFonts w:ascii="Wingdings" w:hAnsi="Wingdings"/>
      </w:rPr>
    </w:lvl>
    <w:lvl w:ilvl="6" w:tplc="B91AB4D6">
      <w:start w:val="1"/>
      <w:numFmt w:val="bullet"/>
      <w:lvlText w:val=""/>
      <w:lvlJc w:val="left"/>
      <w:pPr>
        <w:tabs>
          <w:tab w:val="num" w:pos="5040"/>
        </w:tabs>
        <w:ind w:left="5040" w:hanging="360"/>
      </w:pPr>
      <w:rPr>
        <w:rFonts w:ascii="Symbol" w:hAnsi="Symbol"/>
      </w:rPr>
    </w:lvl>
    <w:lvl w:ilvl="7" w:tplc="001E00F6">
      <w:start w:val="1"/>
      <w:numFmt w:val="bullet"/>
      <w:lvlText w:val="o"/>
      <w:lvlJc w:val="left"/>
      <w:pPr>
        <w:tabs>
          <w:tab w:val="num" w:pos="5760"/>
        </w:tabs>
        <w:ind w:left="5760" w:hanging="360"/>
      </w:pPr>
      <w:rPr>
        <w:rFonts w:ascii="Courier New" w:hAnsi="Courier New"/>
      </w:rPr>
    </w:lvl>
    <w:lvl w:ilvl="8" w:tplc="40EE3C62">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0252608A">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138A1480">
      <w:start w:val="1"/>
      <w:numFmt w:val="bullet"/>
      <w:lvlText w:val="o"/>
      <w:lvlJc w:val="left"/>
      <w:pPr>
        <w:tabs>
          <w:tab w:val="num" w:pos="1440"/>
        </w:tabs>
        <w:ind w:left="1440" w:hanging="360"/>
      </w:pPr>
      <w:rPr>
        <w:rFonts w:ascii="Courier New" w:hAnsi="Courier New"/>
      </w:rPr>
    </w:lvl>
    <w:lvl w:ilvl="2" w:tplc="B67EB0E6">
      <w:start w:val="1"/>
      <w:numFmt w:val="bullet"/>
      <w:lvlText w:val=""/>
      <w:lvlJc w:val="left"/>
      <w:pPr>
        <w:tabs>
          <w:tab w:val="num" w:pos="2160"/>
        </w:tabs>
        <w:ind w:left="2160" w:hanging="360"/>
      </w:pPr>
      <w:rPr>
        <w:rFonts w:ascii="Wingdings" w:hAnsi="Wingdings"/>
      </w:rPr>
    </w:lvl>
    <w:lvl w:ilvl="3" w:tplc="177E9DEC">
      <w:start w:val="1"/>
      <w:numFmt w:val="bullet"/>
      <w:lvlText w:val=""/>
      <w:lvlJc w:val="left"/>
      <w:pPr>
        <w:tabs>
          <w:tab w:val="num" w:pos="2880"/>
        </w:tabs>
        <w:ind w:left="2880" w:hanging="360"/>
      </w:pPr>
      <w:rPr>
        <w:rFonts w:ascii="Symbol" w:hAnsi="Symbol"/>
      </w:rPr>
    </w:lvl>
    <w:lvl w:ilvl="4" w:tplc="F2F0AC3E">
      <w:start w:val="1"/>
      <w:numFmt w:val="bullet"/>
      <w:lvlText w:val="o"/>
      <w:lvlJc w:val="left"/>
      <w:pPr>
        <w:tabs>
          <w:tab w:val="num" w:pos="3600"/>
        </w:tabs>
        <w:ind w:left="3600" w:hanging="360"/>
      </w:pPr>
      <w:rPr>
        <w:rFonts w:ascii="Courier New" w:hAnsi="Courier New"/>
      </w:rPr>
    </w:lvl>
    <w:lvl w:ilvl="5" w:tplc="581EF80A">
      <w:start w:val="1"/>
      <w:numFmt w:val="bullet"/>
      <w:lvlText w:val=""/>
      <w:lvlJc w:val="left"/>
      <w:pPr>
        <w:tabs>
          <w:tab w:val="num" w:pos="4320"/>
        </w:tabs>
        <w:ind w:left="4320" w:hanging="360"/>
      </w:pPr>
      <w:rPr>
        <w:rFonts w:ascii="Wingdings" w:hAnsi="Wingdings"/>
      </w:rPr>
    </w:lvl>
    <w:lvl w:ilvl="6" w:tplc="4426F348">
      <w:start w:val="1"/>
      <w:numFmt w:val="bullet"/>
      <w:lvlText w:val=""/>
      <w:lvlJc w:val="left"/>
      <w:pPr>
        <w:tabs>
          <w:tab w:val="num" w:pos="5040"/>
        </w:tabs>
        <w:ind w:left="5040" w:hanging="360"/>
      </w:pPr>
      <w:rPr>
        <w:rFonts w:ascii="Symbol" w:hAnsi="Symbol"/>
      </w:rPr>
    </w:lvl>
    <w:lvl w:ilvl="7" w:tplc="A61E4BAC">
      <w:start w:val="1"/>
      <w:numFmt w:val="bullet"/>
      <w:lvlText w:val="o"/>
      <w:lvlJc w:val="left"/>
      <w:pPr>
        <w:tabs>
          <w:tab w:val="num" w:pos="5760"/>
        </w:tabs>
        <w:ind w:left="5760" w:hanging="360"/>
      </w:pPr>
      <w:rPr>
        <w:rFonts w:ascii="Courier New" w:hAnsi="Courier New"/>
      </w:rPr>
    </w:lvl>
    <w:lvl w:ilvl="8" w:tplc="6732661A">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52B4226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217CD630">
      <w:start w:val="1"/>
      <w:numFmt w:val="bullet"/>
      <w:lvlText w:val="o"/>
      <w:lvlJc w:val="left"/>
      <w:pPr>
        <w:tabs>
          <w:tab w:val="num" w:pos="1440"/>
        </w:tabs>
        <w:ind w:left="1440" w:hanging="360"/>
      </w:pPr>
      <w:rPr>
        <w:rFonts w:ascii="Courier New" w:hAnsi="Courier New"/>
      </w:rPr>
    </w:lvl>
    <w:lvl w:ilvl="2" w:tplc="B14C4EAE">
      <w:start w:val="1"/>
      <w:numFmt w:val="bullet"/>
      <w:lvlText w:val=""/>
      <w:lvlJc w:val="left"/>
      <w:pPr>
        <w:tabs>
          <w:tab w:val="num" w:pos="2160"/>
        </w:tabs>
        <w:ind w:left="2160" w:hanging="360"/>
      </w:pPr>
      <w:rPr>
        <w:rFonts w:ascii="Wingdings" w:hAnsi="Wingdings"/>
      </w:rPr>
    </w:lvl>
    <w:lvl w:ilvl="3" w:tplc="F15850CC">
      <w:start w:val="1"/>
      <w:numFmt w:val="bullet"/>
      <w:lvlText w:val=""/>
      <w:lvlJc w:val="left"/>
      <w:pPr>
        <w:tabs>
          <w:tab w:val="num" w:pos="2880"/>
        </w:tabs>
        <w:ind w:left="2880" w:hanging="360"/>
      </w:pPr>
      <w:rPr>
        <w:rFonts w:ascii="Symbol" w:hAnsi="Symbol"/>
      </w:rPr>
    </w:lvl>
    <w:lvl w:ilvl="4" w:tplc="32A08572">
      <w:start w:val="1"/>
      <w:numFmt w:val="bullet"/>
      <w:lvlText w:val="o"/>
      <w:lvlJc w:val="left"/>
      <w:pPr>
        <w:tabs>
          <w:tab w:val="num" w:pos="3600"/>
        </w:tabs>
        <w:ind w:left="3600" w:hanging="360"/>
      </w:pPr>
      <w:rPr>
        <w:rFonts w:ascii="Courier New" w:hAnsi="Courier New"/>
      </w:rPr>
    </w:lvl>
    <w:lvl w:ilvl="5" w:tplc="E5244A9A">
      <w:start w:val="1"/>
      <w:numFmt w:val="bullet"/>
      <w:lvlText w:val=""/>
      <w:lvlJc w:val="left"/>
      <w:pPr>
        <w:tabs>
          <w:tab w:val="num" w:pos="4320"/>
        </w:tabs>
        <w:ind w:left="4320" w:hanging="360"/>
      </w:pPr>
      <w:rPr>
        <w:rFonts w:ascii="Wingdings" w:hAnsi="Wingdings"/>
      </w:rPr>
    </w:lvl>
    <w:lvl w:ilvl="6" w:tplc="725A4AE0">
      <w:start w:val="1"/>
      <w:numFmt w:val="bullet"/>
      <w:lvlText w:val=""/>
      <w:lvlJc w:val="left"/>
      <w:pPr>
        <w:tabs>
          <w:tab w:val="num" w:pos="5040"/>
        </w:tabs>
        <w:ind w:left="5040" w:hanging="360"/>
      </w:pPr>
      <w:rPr>
        <w:rFonts w:ascii="Symbol" w:hAnsi="Symbol"/>
      </w:rPr>
    </w:lvl>
    <w:lvl w:ilvl="7" w:tplc="EA4037B6">
      <w:start w:val="1"/>
      <w:numFmt w:val="bullet"/>
      <w:lvlText w:val="o"/>
      <w:lvlJc w:val="left"/>
      <w:pPr>
        <w:tabs>
          <w:tab w:val="num" w:pos="5760"/>
        </w:tabs>
        <w:ind w:left="5760" w:hanging="360"/>
      </w:pPr>
      <w:rPr>
        <w:rFonts w:ascii="Courier New" w:hAnsi="Courier New"/>
      </w:rPr>
    </w:lvl>
    <w:lvl w:ilvl="8" w:tplc="8D50C406">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314EF48">
      <w:start w:val="1"/>
      <w:numFmt w:val="bullet"/>
      <w:lvlText w:val=""/>
      <w:lvlJc w:val="left"/>
      <w:pPr>
        <w:tabs>
          <w:tab w:val="num" w:pos="720"/>
        </w:tabs>
        <w:ind w:left="720" w:hanging="360"/>
      </w:pPr>
      <w:rPr>
        <w:rFonts w:ascii="Symbol" w:hAnsi="Symbol"/>
      </w:rPr>
    </w:lvl>
    <w:lvl w:ilvl="1" w:tplc="5E54562E">
      <w:start w:val="1"/>
      <w:numFmt w:val="bullet"/>
      <w:lvlText w:val="◦"/>
      <w:lvlJc w:val="left"/>
      <w:pPr>
        <w:tabs>
          <w:tab w:val="num" w:pos="1080"/>
        </w:tabs>
        <w:ind w:left="1440" w:hanging="360"/>
      </w:pPr>
      <w:rPr>
        <w:rFonts w:ascii="Times New Roman" w:eastAsia="Times New Roman" w:hAnsi="Times New Roman" w:cs="Times New Roman"/>
        <w:b w:val="0"/>
        <w:i w:val="0"/>
        <w:strike w:val="0"/>
        <w:sz w:val="20"/>
      </w:rPr>
    </w:lvl>
    <w:lvl w:ilvl="2" w:tplc="B36498A0">
      <w:start w:val="1"/>
      <w:numFmt w:val="bullet"/>
      <w:lvlText w:val=""/>
      <w:lvlJc w:val="left"/>
      <w:pPr>
        <w:tabs>
          <w:tab w:val="num" w:pos="2160"/>
        </w:tabs>
        <w:ind w:left="2160" w:hanging="360"/>
      </w:pPr>
      <w:rPr>
        <w:rFonts w:ascii="Wingdings" w:hAnsi="Wingdings"/>
      </w:rPr>
    </w:lvl>
    <w:lvl w:ilvl="3" w:tplc="9A9A73CA">
      <w:start w:val="1"/>
      <w:numFmt w:val="bullet"/>
      <w:lvlText w:val=""/>
      <w:lvlJc w:val="left"/>
      <w:pPr>
        <w:tabs>
          <w:tab w:val="num" w:pos="2880"/>
        </w:tabs>
        <w:ind w:left="2880" w:hanging="360"/>
      </w:pPr>
      <w:rPr>
        <w:rFonts w:ascii="Symbol" w:hAnsi="Symbol"/>
      </w:rPr>
    </w:lvl>
    <w:lvl w:ilvl="4" w:tplc="A39C0394">
      <w:start w:val="1"/>
      <w:numFmt w:val="bullet"/>
      <w:lvlText w:val="o"/>
      <w:lvlJc w:val="left"/>
      <w:pPr>
        <w:tabs>
          <w:tab w:val="num" w:pos="3600"/>
        </w:tabs>
        <w:ind w:left="3600" w:hanging="360"/>
      </w:pPr>
      <w:rPr>
        <w:rFonts w:ascii="Courier New" w:hAnsi="Courier New"/>
      </w:rPr>
    </w:lvl>
    <w:lvl w:ilvl="5" w:tplc="B0D8F53E">
      <w:start w:val="1"/>
      <w:numFmt w:val="bullet"/>
      <w:lvlText w:val=""/>
      <w:lvlJc w:val="left"/>
      <w:pPr>
        <w:tabs>
          <w:tab w:val="num" w:pos="4320"/>
        </w:tabs>
        <w:ind w:left="4320" w:hanging="360"/>
      </w:pPr>
      <w:rPr>
        <w:rFonts w:ascii="Wingdings" w:hAnsi="Wingdings"/>
      </w:rPr>
    </w:lvl>
    <w:lvl w:ilvl="6" w:tplc="0BD449D8">
      <w:start w:val="1"/>
      <w:numFmt w:val="bullet"/>
      <w:lvlText w:val=""/>
      <w:lvlJc w:val="left"/>
      <w:pPr>
        <w:tabs>
          <w:tab w:val="num" w:pos="5040"/>
        </w:tabs>
        <w:ind w:left="5040" w:hanging="360"/>
      </w:pPr>
      <w:rPr>
        <w:rFonts w:ascii="Symbol" w:hAnsi="Symbol"/>
      </w:rPr>
    </w:lvl>
    <w:lvl w:ilvl="7" w:tplc="6368F640">
      <w:start w:val="1"/>
      <w:numFmt w:val="bullet"/>
      <w:lvlText w:val="o"/>
      <w:lvlJc w:val="left"/>
      <w:pPr>
        <w:tabs>
          <w:tab w:val="num" w:pos="5760"/>
        </w:tabs>
        <w:ind w:left="5760" w:hanging="360"/>
      </w:pPr>
      <w:rPr>
        <w:rFonts w:ascii="Courier New" w:hAnsi="Courier New"/>
      </w:rPr>
    </w:lvl>
    <w:lvl w:ilvl="8" w:tplc="8772BFC2">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60A06D52">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59F6BA14">
      <w:start w:val="1"/>
      <w:numFmt w:val="bullet"/>
      <w:lvlText w:val="o"/>
      <w:lvlJc w:val="left"/>
      <w:pPr>
        <w:tabs>
          <w:tab w:val="num" w:pos="1440"/>
        </w:tabs>
        <w:ind w:left="1440" w:hanging="360"/>
      </w:pPr>
      <w:rPr>
        <w:rFonts w:ascii="Courier New" w:hAnsi="Courier New"/>
      </w:rPr>
    </w:lvl>
    <w:lvl w:ilvl="2" w:tplc="112AEE14">
      <w:start w:val="1"/>
      <w:numFmt w:val="bullet"/>
      <w:lvlText w:val=""/>
      <w:lvlJc w:val="left"/>
      <w:pPr>
        <w:tabs>
          <w:tab w:val="num" w:pos="2160"/>
        </w:tabs>
        <w:ind w:left="2160" w:hanging="360"/>
      </w:pPr>
      <w:rPr>
        <w:rFonts w:ascii="Wingdings" w:hAnsi="Wingdings"/>
      </w:rPr>
    </w:lvl>
    <w:lvl w:ilvl="3" w:tplc="05B685CE">
      <w:start w:val="1"/>
      <w:numFmt w:val="bullet"/>
      <w:lvlText w:val=""/>
      <w:lvlJc w:val="left"/>
      <w:pPr>
        <w:tabs>
          <w:tab w:val="num" w:pos="2880"/>
        </w:tabs>
        <w:ind w:left="2880" w:hanging="360"/>
      </w:pPr>
      <w:rPr>
        <w:rFonts w:ascii="Symbol" w:hAnsi="Symbol"/>
      </w:rPr>
    </w:lvl>
    <w:lvl w:ilvl="4" w:tplc="D3A89130">
      <w:start w:val="1"/>
      <w:numFmt w:val="bullet"/>
      <w:lvlText w:val="o"/>
      <w:lvlJc w:val="left"/>
      <w:pPr>
        <w:tabs>
          <w:tab w:val="num" w:pos="3600"/>
        </w:tabs>
        <w:ind w:left="3600" w:hanging="360"/>
      </w:pPr>
      <w:rPr>
        <w:rFonts w:ascii="Courier New" w:hAnsi="Courier New"/>
      </w:rPr>
    </w:lvl>
    <w:lvl w:ilvl="5" w:tplc="80CEF676">
      <w:start w:val="1"/>
      <w:numFmt w:val="bullet"/>
      <w:lvlText w:val=""/>
      <w:lvlJc w:val="left"/>
      <w:pPr>
        <w:tabs>
          <w:tab w:val="num" w:pos="4320"/>
        </w:tabs>
        <w:ind w:left="4320" w:hanging="360"/>
      </w:pPr>
      <w:rPr>
        <w:rFonts w:ascii="Wingdings" w:hAnsi="Wingdings"/>
      </w:rPr>
    </w:lvl>
    <w:lvl w:ilvl="6" w:tplc="9580E7EC">
      <w:start w:val="1"/>
      <w:numFmt w:val="bullet"/>
      <w:lvlText w:val=""/>
      <w:lvlJc w:val="left"/>
      <w:pPr>
        <w:tabs>
          <w:tab w:val="num" w:pos="5040"/>
        </w:tabs>
        <w:ind w:left="5040" w:hanging="360"/>
      </w:pPr>
      <w:rPr>
        <w:rFonts w:ascii="Symbol" w:hAnsi="Symbol"/>
      </w:rPr>
    </w:lvl>
    <w:lvl w:ilvl="7" w:tplc="DDB63E3C">
      <w:start w:val="1"/>
      <w:numFmt w:val="bullet"/>
      <w:lvlText w:val="o"/>
      <w:lvlJc w:val="left"/>
      <w:pPr>
        <w:tabs>
          <w:tab w:val="num" w:pos="5760"/>
        </w:tabs>
        <w:ind w:left="5760" w:hanging="360"/>
      </w:pPr>
      <w:rPr>
        <w:rFonts w:ascii="Courier New" w:hAnsi="Courier New"/>
      </w:rPr>
    </w:lvl>
    <w:lvl w:ilvl="8" w:tplc="F59CEC58">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51B27432">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3A4A9F8A">
      <w:start w:val="1"/>
      <w:numFmt w:val="bullet"/>
      <w:lvlText w:val="o"/>
      <w:lvlJc w:val="left"/>
      <w:pPr>
        <w:tabs>
          <w:tab w:val="num" w:pos="1440"/>
        </w:tabs>
        <w:ind w:left="1440" w:hanging="360"/>
      </w:pPr>
      <w:rPr>
        <w:rFonts w:ascii="Courier New" w:hAnsi="Courier New"/>
      </w:rPr>
    </w:lvl>
    <w:lvl w:ilvl="2" w:tplc="18305322">
      <w:start w:val="1"/>
      <w:numFmt w:val="bullet"/>
      <w:lvlText w:val=""/>
      <w:lvlJc w:val="left"/>
      <w:pPr>
        <w:tabs>
          <w:tab w:val="num" w:pos="2160"/>
        </w:tabs>
        <w:ind w:left="2160" w:hanging="360"/>
      </w:pPr>
      <w:rPr>
        <w:rFonts w:ascii="Wingdings" w:hAnsi="Wingdings"/>
      </w:rPr>
    </w:lvl>
    <w:lvl w:ilvl="3" w:tplc="CCAA3966">
      <w:start w:val="1"/>
      <w:numFmt w:val="bullet"/>
      <w:lvlText w:val=""/>
      <w:lvlJc w:val="left"/>
      <w:pPr>
        <w:tabs>
          <w:tab w:val="num" w:pos="2880"/>
        </w:tabs>
        <w:ind w:left="2880" w:hanging="360"/>
      </w:pPr>
      <w:rPr>
        <w:rFonts w:ascii="Symbol" w:hAnsi="Symbol"/>
      </w:rPr>
    </w:lvl>
    <w:lvl w:ilvl="4" w:tplc="6CC42A38">
      <w:start w:val="1"/>
      <w:numFmt w:val="bullet"/>
      <w:lvlText w:val="o"/>
      <w:lvlJc w:val="left"/>
      <w:pPr>
        <w:tabs>
          <w:tab w:val="num" w:pos="3600"/>
        </w:tabs>
        <w:ind w:left="3600" w:hanging="360"/>
      </w:pPr>
      <w:rPr>
        <w:rFonts w:ascii="Courier New" w:hAnsi="Courier New"/>
      </w:rPr>
    </w:lvl>
    <w:lvl w:ilvl="5" w:tplc="1046B4F2">
      <w:start w:val="1"/>
      <w:numFmt w:val="bullet"/>
      <w:lvlText w:val=""/>
      <w:lvlJc w:val="left"/>
      <w:pPr>
        <w:tabs>
          <w:tab w:val="num" w:pos="4320"/>
        </w:tabs>
        <w:ind w:left="4320" w:hanging="360"/>
      </w:pPr>
      <w:rPr>
        <w:rFonts w:ascii="Wingdings" w:hAnsi="Wingdings"/>
      </w:rPr>
    </w:lvl>
    <w:lvl w:ilvl="6" w:tplc="5A8C00F6">
      <w:start w:val="1"/>
      <w:numFmt w:val="bullet"/>
      <w:lvlText w:val=""/>
      <w:lvlJc w:val="left"/>
      <w:pPr>
        <w:tabs>
          <w:tab w:val="num" w:pos="5040"/>
        </w:tabs>
        <w:ind w:left="5040" w:hanging="360"/>
      </w:pPr>
      <w:rPr>
        <w:rFonts w:ascii="Symbol" w:hAnsi="Symbol"/>
      </w:rPr>
    </w:lvl>
    <w:lvl w:ilvl="7" w:tplc="48FC61DA">
      <w:start w:val="1"/>
      <w:numFmt w:val="bullet"/>
      <w:lvlText w:val="o"/>
      <w:lvlJc w:val="left"/>
      <w:pPr>
        <w:tabs>
          <w:tab w:val="num" w:pos="5760"/>
        </w:tabs>
        <w:ind w:left="5760" w:hanging="360"/>
      </w:pPr>
      <w:rPr>
        <w:rFonts w:ascii="Courier New" w:hAnsi="Courier New"/>
      </w:rPr>
    </w:lvl>
    <w:lvl w:ilvl="8" w:tplc="6924F94C">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14382612">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C6FEACCE">
      <w:start w:val="1"/>
      <w:numFmt w:val="bullet"/>
      <w:lvlText w:val="o"/>
      <w:lvlJc w:val="left"/>
      <w:pPr>
        <w:tabs>
          <w:tab w:val="num" w:pos="1440"/>
        </w:tabs>
        <w:ind w:left="1440" w:hanging="360"/>
      </w:pPr>
      <w:rPr>
        <w:rFonts w:ascii="Courier New" w:hAnsi="Courier New"/>
      </w:rPr>
    </w:lvl>
    <w:lvl w:ilvl="2" w:tplc="F266C568">
      <w:start w:val="1"/>
      <w:numFmt w:val="bullet"/>
      <w:lvlText w:val=""/>
      <w:lvlJc w:val="left"/>
      <w:pPr>
        <w:tabs>
          <w:tab w:val="num" w:pos="2160"/>
        </w:tabs>
        <w:ind w:left="2160" w:hanging="360"/>
      </w:pPr>
      <w:rPr>
        <w:rFonts w:ascii="Wingdings" w:hAnsi="Wingdings"/>
      </w:rPr>
    </w:lvl>
    <w:lvl w:ilvl="3" w:tplc="C60EAC00">
      <w:start w:val="1"/>
      <w:numFmt w:val="bullet"/>
      <w:lvlText w:val=""/>
      <w:lvlJc w:val="left"/>
      <w:pPr>
        <w:tabs>
          <w:tab w:val="num" w:pos="2880"/>
        </w:tabs>
        <w:ind w:left="2880" w:hanging="360"/>
      </w:pPr>
      <w:rPr>
        <w:rFonts w:ascii="Symbol" w:hAnsi="Symbol"/>
      </w:rPr>
    </w:lvl>
    <w:lvl w:ilvl="4" w:tplc="00700EC0">
      <w:start w:val="1"/>
      <w:numFmt w:val="bullet"/>
      <w:lvlText w:val="o"/>
      <w:lvlJc w:val="left"/>
      <w:pPr>
        <w:tabs>
          <w:tab w:val="num" w:pos="3600"/>
        </w:tabs>
        <w:ind w:left="3600" w:hanging="360"/>
      </w:pPr>
      <w:rPr>
        <w:rFonts w:ascii="Courier New" w:hAnsi="Courier New"/>
      </w:rPr>
    </w:lvl>
    <w:lvl w:ilvl="5" w:tplc="4774A26C">
      <w:start w:val="1"/>
      <w:numFmt w:val="bullet"/>
      <w:lvlText w:val=""/>
      <w:lvlJc w:val="left"/>
      <w:pPr>
        <w:tabs>
          <w:tab w:val="num" w:pos="4320"/>
        </w:tabs>
        <w:ind w:left="4320" w:hanging="360"/>
      </w:pPr>
      <w:rPr>
        <w:rFonts w:ascii="Wingdings" w:hAnsi="Wingdings"/>
      </w:rPr>
    </w:lvl>
    <w:lvl w:ilvl="6" w:tplc="87BEFD4A">
      <w:start w:val="1"/>
      <w:numFmt w:val="bullet"/>
      <w:lvlText w:val=""/>
      <w:lvlJc w:val="left"/>
      <w:pPr>
        <w:tabs>
          <w:tab w:val="num" w:pos="5040"/>
        </w:tabs>
        <w:ind w:left="5040" w:hanging="360"/>
      </w:pPr>
      <w:rPr>
        <w:rFonts w:ascii="Symbol" w:hAnsi="Symbol"/>
      </w:rPr>
    </w:lvl>
    <w:lvl w:ilvl="7" w:tplc="83D2AD58">
      <w:start w:val="1"/>
      <w:numFmt w:val="bullet"/>
      <w:lvlText w:val="o"/>
      <w:lvlJc w:val="left"/>
      <w:pPr>
        <w:tabs>
          <w:tab w:val="num" w:pos="5760"/>
        </w:tabs>
        <w:ind w:left="5760" w:hanging="360"/>
      </w:pPr>
      <w:rPr>
        <w:rFonts w:ascii="Courier New" w:hAnsi="Courier New"/>
      </w:rPr>
    </w:lvl>
    <w:lvl w:ilvl="8" w:tplc="99D87488">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9B76865C">
      <w:start w:val="1"/>
      <w:numFmt w:val="lowerLetter"/>
      <w:lvlText w:val="(%1)"/>
      <w:lvlJc w:val="left"/>
      <w:pPr>
        <w:tabs>
          <w:tab w:val="num" w:pos="720"/>
        </w:tabs>
        <w:ind w:left="720" w:hanging="360"/>
      </w:pPr>
      <w:rPr>
        <w:rFonts w:ascii="Times New Roman" w:eastAsia="Times New Roman" w:hAnsi="Times New Roman" w:cs="Times New Roman"/>
        <w:b w:val="0"/>
        <w:i w:val="0"/>
        <w:strike w:val="0"/>
        <w:sz w:val="17"/>
      </w:rPr>
    </w:lvl>
    <w:lvl w:ilvl="1" w:tplc="DAC0973E">
      <w:start w:val="1"/>
      <w:numFmt w:val="bullet"/>
      <w:lvlText w:val="o"/>
      <w:lvlJc w:val="left"/>
      <w:pPr>
        <w:tabs>
          <w:tab w:val="num" w:pos="1440"/>
        </w:tabs>
        <w:ind w:left="1440" w:hanging="360"/>
      </w:pPr>
      <w:rPr>
        <w:rFonts w:ascii="Courier New" w:hAnsi="Courier New"/>
      </w:rPr>
    </w:lvl>
    <w:lvl w:ilvl="2" w:tplc="91B8A386">
      <w:start w:val="1"/>
      <w:numFmt w:val="bullet"/>
      <w:lvlText w:val=""/>
      <w:lvlJc w:val="left"/>
      <w:pPr>
        <w:tabs>
          <w:tab w:val="num" w:pos="2160"/>
        </w:tabs>
        <w:ind w:left="2160" w:hanging="360"/>
      </w:pPr>
      <w:rPr>
        <w:rFonts w:ascii="Wingdings" w:hAnsi="Wingdings"/>
      </w:rPr>
    </w:lvl>
    <w:lvl w:ilvl="3" w:tplc="BED6B9D4">
      <w:start w:val="1"/>
      <w:numFmt w:val="bullet"/>
      <w:lvlText w:val=""/>
      <w:lvlJc w:val="left"/>
      <w:pPr>
        <w:tabs>
          <w:tab w:val="num" w:pos="2880"/>
        </w:tabs>
        <w:ind w:left="2880" w:hanging="360"/>
      </w:pPr>
      <w:rPr>
        <w:rFonts w:ascii="Symbol" w:hAnsi="Symbol"/>
      </w:rPr>
    </w:lvl>
    <w:lvl w:ilvl="4" w:tplc="925428CC">
      <w:start w:val="1"/>
      <w:numFmt w:val="bullet"/>
      <w:lvlText w:val="o"/>
      <w:lvlJc w:val="left"/>
      <w:pPr>
        <w:tabs>
          <w:tab w:val="num" w:pos="3600"/>
        </w:tabs>
        <w:ind w:left="3600" w:hanging="360"/>
      </w:pPr>
      <w:rPr>
        <w:rFonts w:ascii="Courier New" w:hAnsi="Courier New"/>
      </w:rPr>
    </w:lvl>
    <w:lvl w:ilvl="5" w:tplc="8BD25F6C">
      <w:start w:val="1"/>
      <w:numFmt w:val="bullet"/>
      <w:lvlText w:val=""/>
      <w:lvlJc w:val="left"/>
      <w:pPr>
        <w:tabs>
          <w:tab w:val="num" w:pos="4320"/>
        </w:tabs>
        <w:ind w:left="4320" w:hanging="360"/>
      </w:pPr>
      <w:rPr>
        <w:rFonts w:ascii="Wingdings" w:hAnsi="Wingdings"/>
      </w:rPr>
    </w:lvl>
    <w:lvl w:ilvl="6" w:tplc="067E6EF2">
      <w:start w:val="1"/>
      <w:numFmt w:val="bullet"/>
      <w:lvlText w:val=""/>
      <w:lvlJc w:val="left"/>
      <w:pPr>
        <w:tabs>
          <w:tab w:val="num" w:pos="5040"/>
        </w:tabs>
        <w:ind w:left="5040" w:hanging="360"/>
      </w:pPr>
      <w:rPr>
        <w:rFonts w:ascii="Symbol" w:hAnsi="Symbol"/>
      </w:rPr>
    </w:lvl>
    <w:lvl w:ilvl="7" w:tplc="D758E918">
      <w:start w:val="1"/>
      <w:numFmt w:val="bullet"/>
      <w:lvlText w:val="o"/>
      <w:lvlJc w:val="left"/>
      <w:pPr>
        <w:tabs>
          <w:tab w:val="num" w:pos="5760"/>
        </w:tabs>
        <w:ind w:left="5760" w:hanging="360"/>
      </w:pPr>
      <w:rPr>
        <w:rFonts w:ascii="Courier New" w:hAnsi="Courier New"/>
      </w:rPr>
    </w:lvl>
    <w:lvl w:ilvl="8" w:tplc="C818CA6A">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8668CA60">
      <w:start w:val="2"/>
      <w:numFmt w:val="lowerLetter"/>
      <w:lvlText w:val="(%1)"/>
      <w:lvlJc w:val="left"/>
      <w:pPr>
        <w:tabs>
          <w:tab w:val="num" w:pos="720"/>
        </w:tabs>
        <w:ind w:left="720" w:hanging="360"/>
      </w:pPr>
      <w:rPr>
        <w:rFonts w:ascii="Times New Roman" w:eastAsia="Times New Roman" w:hAnsi="Times New Roman" w:cs="Times New Roman"/>
        <w:b w:val="0"/>
        <w:i w:val="0"/>
        <w:strike w:val="0"/>
        <w:sz w:val="17"/>
      </w:rPr>
    </w:lvl>
    <w:lvl w:ilvl="1" w:tplc="56B6101A">
      <w:start w:val="1"/>
      <w:numFmt w:val="bullet"/>
      <w:lvlText w:val="o"/>
      <w:lvlJc w:val="left"/>
      <w:pPr>
        <w:tabs>
          <w:tab w:val="num" w:pos="1440"/>
        </w:tabs>
        <w:ind w:left="1440" w:hanging="360"/>
      </w:pPr>
      <w:rPr>
        <w:rFonts w:ascii="Courier New" w:hAnsi="Courier New"/>
      </w:rPr>
    </w:lvl>
    <w:lvl w:ilvl="2" w:tplc="F87EB2AC">
      <w:start w:val="1"/>
      <w:numFmt w:val="bullet"/>
      <w:lvlText w:val=""/>
      <w:lvlJc w:val="left"/>
      <w:pPr>
        <w:tabs>
          <w:tab w:val="num" w:pos="2160"/>
        </w:tabs>
        <w:ind w:left="2160" w:hanging="360"/>
      </w:pPr>
      <w:rPr>
        <w:rFonts w:ascii="Wingdings" w:hAnsi="Wingdings"/>
      </w:rPr>
    </w:lvl>
    <w:lvl w:ilvl="3" w:tplc="1F205AD0">
      <w:start w:val="1"/>
      <w:numFmt w:val="bullet"/>
      <w:lvlText w:val=""/>
      <w:lvlJc w:val="left"/>
      <w:pPr>
        <w:tabs>
          <w:tab w:val="num" w:pos="2880"/>
        </w:tabs>
        <w:ind w:left="2880" w:hanging="360"/>
      </w:pPr>
      <w:rPr>
        <w:rFonts w:ascii="Symbol" w:hAnsi="Symbol"/>
      </w:rPr>
    </w:lvl>
    <w:lvl w:ilvl="4" w:tplc="72582D9A">
      <w:start w:val="1"/>
      <w:numFmt w:val="bullet"/>
      <w:lvlText w:val="o"/>
      <w:lvlJc w:val="left"/>
      <w:pPr>
        <w:tabs>
          <w:tab w:val="num" w:pos="3600"/>
        </w:tabs>
        <w:ind w:left="3600" w:hanging="360"/>
      </w:pPr>
      <w:rPr>
        <w:rFonts w:ascii="Courier New" w:hAnsi="Courier New"/>
      </w:rPr>
    </w:lvl>
    <w:lvl w:ilvl="5" w:tplc="C3621480">
      <w:start w:val="1"/>
      <w:numFmt w:val="bullet"/>
      <w:lvlText w:val=""/>
      <w:lvlJc w:val="left"/>
      <w:pPr>
        <w:tabs>
          <w:tab w:val="num" w:pos="4320"/>
        </w:tabs>
        <w:ind w:left="4320" w:hanging="360"/>
      </w:pPr>
      <w:rPr>
        <w:rFonts w:ascii="Wingdings" w:hAnsi="Wingdings"/>
      </w:rPr>
    </w:lvl>
    <w:lvl w:ilvl="6" w:tplc="E19CB15C">
      <w:start w:val="1"/>
      <w:numFmt w:val="bullet"/>
      <w:lvlText w:val=""/>
      <w:lvlJc w:val="left"/>
      <w:pPr>
        <w:tabs>
          <w:tab w:val="num" w:pos="5040"/>
        </w:tabs>
        <w:ind w:left="5040" w:hanging="360"/>
      </w:pPr>
      <w:rPr>
        <w:rFonts w:ascii="Symbol" w:hAnsi="Symbol"/>
      </w:rPr>
    </w:lvl>
    <w:lvl w:ilvl="7" w:tplc="CC9C1ED4">
      <w:start w:val="1"/>
      <w:numFmt w:val="bullet"/>
      <w:lvlText w:val="o"/>
      <w:lvlJc w:val="left"/>
      <w:pPr>
        <w:tabs>
          <w:tab w:val="num" w:pos="5760"/>
        </w:tabs>
        <w:ind w:left="5760" w:hanging="360"/>
      </w:pPr>
      <w:rPr>
        <w:rFonts w:ascii="Courier New" w:hAnsi="Courier New"/>
      </w:rPr>
    </w:lvl>
    <w:lvl w:ilvl="8" w:tplc="2CFAE58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noLeading/>
    <w:suppressTopSpacingWP/>
    <w:compatSetting w:name="compatibilityMode" w:uri="http://schemas.microsoft.com/office/word" w:val="12"/>
    <w:compatSetting w:name="useWord2013TrackBottomHyphenation" w:uri="http://schemas.microsoft.com/office/word" w:val="1"/>
  </w:compat>
  <w:rsids>
    <w:rsidRoot w:val="00A77B3E"/>
    <w:rsid w:val="008E6F9B"/>
    <w:rsid w:val="00A77B3E"/>
    <w:rsid w:val="00AD30C9"/>
    <w:rsid w:val="00CA2A55"/>
    <w:rsid w:val="00DE2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69AA1"/>
  <w15:docId w15:val="{E6C862D0-C8B7-4872-8966-1E3AA540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1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asterisk">
    <w:name w:val="bullet.asterisk"/>
    <w:pPr>
      <w:numPr>
        <w:numId w:val="1"/>
      </w:numPr>
    </w:pPr>
  </w:style>
  <w:style w:type="numbering" w:customStyle="1" w:styleId="bulletcircle">
    <w:name w:val="bullet.circle"/>
    <w:pPr>
      <w:numPr>
        <w:numId w:val="2"/>
      </w:numPr>
    </w:pPr>
  </w:style>
  <w:style w:type="numbering" w:customStyle="1" w:styleId="bulletdagger">
    <w:name w:val="bullet.dagger"/>
    <w:pPr>
      <w:numPr>
        <w:numId w:val="3"/>
      </w:numPr>
    </w:pPr>
  </w:style>
  <w:style w:type="numbering" w:customStyle="1" w:styleId="bulletdash">
    <w:name w:val="bullet.dash"/>
    <w:pPr>
      <w:numPr>
        <w:numId w:val="4"/>
      </w:numPr>
    </w:pPr>
  </w:style>
  <w:style w:type="numbering" w:customStyle="1" w:styleId="bulletlargebox">
    <w:name w:val="bullet.largebox"/>
    <w:pPr>
      <w:numPr>
        <w:numId w:val="5"/>
      </w:numPr>
    </w:pPr>
  </w:style>
  <w:style w:type="numbering" w:customStyle="1" w:styleId="bulletround">
    <w:name w:val="bullet.round"/>
    <w:pPr>
      <w:numPr>
        <w:numId w:val="6"/>
      </w:numPr>
    </w:pPr>
  </w:style>
  <w:style w:type="numbering" w:customStyle="1" w:styleId="bulletsquare">
    <w:name w:val="bullet.square"/>
    <w:pPr>
      <w:numPr>
        <w:numId w:val="7"/>
      </w:numPr>
    </w:pPr>
  </w:style>
  <w:style w:type="numbering" w:customStyle="1" w:styleId="listarabic">
    <w:name w:val="list.arabic"/>
    <w:pPr>
      <w:numPr>
        <w:numId w:val="8"/>
      </w:numPr>
    </w:pPr>
  </w:style>
  <w:style w:type="numbering" w:customStyle="1" w:styleId="listlatinlowercase">
    <w:name w:val="list.latin.lowercase"/>
    <w:pPr>
      <w:numPr>
        <w:numId w:val="9"/>
      </w:numPr>
    </w:pPr>
  </w:style>
  <w:style w:type="numbering" w:customStyle="1" w:styleId="listlatinuppercase">
    <w:name w:val="list.latin.uppercase"/>
    <w:pPr>
      <w:numPr>
        <w:numId w:val="10"/>
      </w:numPr>
    </w:pPr>
  </w:style>
  <w:style w:type="numbering" w:customStyle="1" w:styleId="listromanlowercase">
    <w:name w:val="list.roman.lowercase"/>
    <w:pPr>
      <w:numPr>
        <w:numId w:val="11"/>
      </w:numPr>
    </w:pPr>
  </w:style>
  <w:style w:type="numbering" w:customStyle="1" w:styleId="listromanuppercase">
    <w:name w:val="list.roman.uppercas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4240</Words>
  <Characters>24168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AXL-Q4_2022-Ex 99.1_IR</dc:title>
  <dc:creator>Lim, David</dc:creator>
  <cp:lastModifiedBy>Lim, David</cp:lastModifiedBy>
  <cp:revision>3</cp:revision>
  <dcterms:created xsi:type="dcterms:W3CDTF">2023-02-16T20:02:00Z</dcterms:created>
  <dcterms:modified xsi:type="dcterms:W3CDTF">2023-02-16T20:02:00Z</dcterms:modified>
</cp:coreProperties>
</file>